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7FAB1" w14:textId="77777777" w:rsidR="007221CE" w:rsidRDefault="007221CE"/>
    <w:tbl>
      <w:tblPr>
        <w:tblW w:w="544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829"/>
        <w:gridCol w:w="791"/>
        <w:gridCol w:w="866"/>
        <w:gridCol w:w="320"/>
        <w:gridCol w:w="379"/>
        <w:gridCol w:w="2132"/>
        <w:gridCol w:w="2983"/>
      </w:tblGrid>
      <w:tr w:rsidR="002527A6" w:rsidRPr="004E0FF0" w14:paraId="0ACCF5EB" w14:textId="77777777" w:rsidTr="004E0FF0">
        <w:trPr>
          <w:trHeight w:val="480"/>
        </w:trPr>
        <w:tc>
          <w:tcPr>
            <w:tcW w:w="2202" w:type="pct"/>
            <w:gridSpan w:val="5"/>
            <w:vMerge w:val="restart"/>
            <w:shd w:val="clear" w:color="auto" w:fill="auto"/>
          </w:tcPr>
          <w:p w14:paraId="7F692A7E" w14:textId="77777777" w:rsidR="007221CE" w:rsidRPr="004E0FF0" w:rsidRDefault="007221CE" w:rsidP="004E0FF0">
            <w:pPr>
              <w:spacing w:after="0" w:line="240" w:lineRule="auto"/>
            </w:pPr>
          </w:p>
          <w:p w14:paraId="00902DF2" w14:textId="3B145F64" w:rsidR="007221CE" w:rsidRPr="004E0FF0" w:rsidRDefault="00B92BA9" w:rsidP="004E0FF0">
            <w:pPr>
              <w:spacing w:after="0" w:line="240" w:lineRule="auto"/>
            </w:pPr>
            <w:r w:rsidRPr="00153641">
              <w:rPr>
                <w:noProof/>
                <w:lang w:eastAsia="en-GB"/>
              </w:rPr>
              <w:drawing>
                <wp:inline distT="0" distB="0" distL="0" distR="0" wp14:anchorId="4C5043A1" wp14:editId="7135E162">
                  <wp:extent cx="2114550" cy="533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3F4E4B" w14:textId="77777777" w:rsidR="007221CE" w:rsidRPr="004E0FF0" w:rsidRDefault="007221CE" w:rsidP="004E0FF0">
            <w:pPr>
              <w:spacing w:after="0" w:line="240" w:lineRule="auto"/>
            </w:pPr>
          </w:p>
        </w:tc>
        <w:tc>
          <w:tcPr>
            <w:tcW w:w="2798" w:type="pct"/>
            <w:gridSpan w:val="3"/>
            <w:shd w:val="clear" w:color="auto" w:fill="auto"/>
          </w:tcPr>
          <w:p w14:paraId="35AB61A0" w14:textId="77777777" w:rsidR="007221CE" w:rsidRPr="004E0FF0" w:rsidRDefault="007221CE" w:rsidP="004E0F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4E0FF0">
              <w:rPr>
                <w:b/>
                <w:sz w:val="36"/>
                <w:szCs w:val="36"/>
              </w:rPr>
              <w:t>ROLE PROFILE</w:t>
            </w:r>
          </w:p>
        </w:tc>
      </w:tr>
      <w:tr w:rsidR="002527A6" w:rsidRPr="004E0FF0" w14:paraId="2A676F3A" w14:textId="77777777" w:rsidTr="004E0FF0">
        <w:trPr>
          <w:trHeight w:val="558"/>
        </w:trPr>
        <w:tc>
          <w:tcPr>
            <w:tcW w:w="2202" w:type="pct"/>
            <w:gridSpan w:val="5"/>
            <w:vMerge/>
            <w:shd w:val="clear" w:color="auto" w:fill="auto"/>
          </w:tcPr>
          <w:p w14:paraId="7402F416" w14:textId="77777777" w:rsidR="007221CE" w:rsidRPr="004E0FF0" w:rsidRDefault="007221CE" w:rsidP="004E0FF0">
            <w:pPr>
              <w:spacing w:after="0" w:line="240" w:lineRule="auto"/>
            </w:pPr>
          </w:p>
        </w:tc>
        <w:tc>
          <w:tcPr>
            <w:tcW w:w="2798" w:type="pct"/>
            <w:gridSpan w:val="3"/>
            <w:shd w:val="clear" w:color="auto" w:fill="auto"/>
            <w:vAlign w:val="center"/>
          </w:tcPr>
          <w:p w14:paraId="305AE748" w14:textId="77777777" w:rsidR="007221CE" w:rsidRPr="004E0FF0" w:rsidRDefault="00E04CA5" w:rsidP="004E0FF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E0FF0">
              <w:rPr>
                <w:sz w:val="28"/>
                <w:szCs w:val="28"/>
              </w:rPr>
              <w:t xml:space="preserve">Senior </w:t>
            </w:r>
            <w:r w:rsidR="004E0FF0" w:rsidRPr="004E0FF0">
              <w:rPr>
                <w:sz w:val="28"/>
                <w:szCs w:val="28"/>
              </w:rPr>
              <w:t>MI &amp; Data Analyst</w:t>
            </w:r>
            <w:r w:rsidR="007C2BE1">
              <w:rPr>
                <w:sz w:val="28"/>
                <w:szCs w:val="28"/>
              </w:rPr>
              <w:t xml:space="preserve"> (AML)</w:t>
            </w:r>
          </w:p>
        </w:tc>
      </w:tr>
      <w:tr w:rsidR="00365EB1" w:rsidRPr="004E0FF0" w14:paraId="3663F16E" w14:textId="77777777" w:rsidTr="004E0FF0">
        <w:trPr>
          <w:trHeight w:val="288"/>
        </w:trPr>
        <w:tc>
          <w:tcPr>
            <w:tcW w:w="773" w:type="pct"/>
            <w:shd w:val="clear" w:color="auto" w:fill="auto"/>
            <w:noWrap/>
            <w:hideMark/>
          </w:tcPr>
          <w:p w14:paraId="5D22D524" w14:textId="77777777" w:rsidR="007221CE" w:rsidRPr="004E0FF0" w:rsidRDefault="007221CE" w:rsidP="004E0FF0">
            <w:pPr>
              <w:spacing w:after="0" w:line="240" w:lineRule="auto"/>
              <w:rPr>
                <w:b/>
              </w:rPr>
            </w:pPr>
            <w:r w:rsidRPr="004E0FF0">
              <w:rPr>
                <w:b/>
              </w:rPr>
              <w:t>Reports to:</w:t>
            </w:r>
          </w:p>
          <w:p w14:paraId="1C57B473" w14:textId="77777777" w:rsidR="00394ABC" w:rsidRPr="004E0FF0" w:rsidRDefault="00394ABC" w:rsidP="004E0FF0">
            <w:pPr>
              <w:spacing w:after="0" w:line="240" w:lineRule="auto"/>
              <w:rPr>
                <w:b/>
              </w:rPr>
            </w:pPr>
          </w:p>
        </w:tc>
        <w:tc>
          <w:tcPr>
            <w:tcW w:w="4227" w:type="pct"/>
            <w:gridSpan w:val="7"/>
            <w:shd w:val="clear" w:color="auto" w:fill="auto"/>
            <w:noWrap/>
            <w:hideMark/>
          </w:tcPr>
          <w:p w14:paraId="6BB2689B" w14:textId="7CA3F286" w:rsidR="007221CE" w:rsidRPr="004E0FF0" w:rsidRDefault="004D0FCD" w:rsidP="00E77C65">
            <w:pPr>
              <w:spacing w:after="0" w:line="240" w:lineRule="auto"/>
            </w:pPr>
            <w:r>
              <w:t xml:space="preserve">Senior </w:t>
            </w:r>
            <w:r w:rsidR="007C3153">
              <w:t xml:space="preserve">Manager – FC Risk Assessments </w:t>
            </w:r>
          </w:p>
        </w:tc>
      </w:tr>
      <w:tr w:rsidR="009E382C" w:rsidRPr="004E0FF0" w14:paraId="2D61BCFC" w14:textId="77777777" w:rsidTr="004E0FF0">
        <w:trPr>
          <w:trHeight w:val="288"/>
        </w:trPr>
        <w:tc>
          <w:tcPr>
            <w:tcW w:w="773" w:type="pct"/>
            <w:shd w:val="clear" w:color="auto" w:fill="auto"/>
            <w:noWrap/>
            <w:hideMark/>
          </w:tcPr>
          <w:p w14:paraId="3331CAD3" w14:textId="77777777" w:rsidR="009E382C" w:rsidRDefault="009E382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Grade:</w:t>
            </w:r>
          </w:p>
        </w:tc>
        <w:tc>
          <w:tcPr>
            <w:tcW w:w="1622" w:type="pct"/>
            <w:gridSpan w:val="5"/>
            <w:shd w:val="clear" w:color="auto" w:fill="auto"/>
            <w:noWrap/>
            <w:hideMark/>
          </w:tcPr>
          <w:p w14:paraId="183ECD88" w14:textId="77777777" w:rsidR="009E382C" w:rsidRDefault="009E382C">
            <w:pPr>
              <w:spacing w:after="0" w:line="240" w:lineRule="auto"/>
            </w:pPr>
            <w:r>
              <w:t>Senior Professional/Technical</w:t>
            </w:r>
          </w:p>
        </w:tc>
        <w:tc>
          <w:tcPr>
            <w:tcW w:w="1086" w:type="pct"/>
            <w:shd w:val="clear" w:color="auto" w:fill="auto"/>
            <w:noWrap/>
            <w:hideMark/>
          </w:tcPr>
          <w:p w14:paraId="3C5F9BD2" w14:textId="77777777" w:rsidR="009E382C" w:rsidRDefault="009E382C">
            <w:pPr>
              <w:spacing w:after="0" w:line="240" w:lineRule="auto"/>
            </w:pPr>
            <w:r>
              <w:rPr>
                <w:b/>
              </w:rPr>
              <w:t>Job Family:</w:t>
            </w:r>
            <w:r>
              <w:t xml:space="preserve"> </w:t>
            </w:r>
          </w:p>
        </w:tc>
        <w:tc>
          <w:tcPr>
            <w:tcW w:w="1519" w:type="pct"/>
            <w:shd w:val="clear" w:color="auto" w:fill="auto"/>
            <w:noWrap/>
            <w:hideMark/>
          </w:tcPr>
          <w:p w14:paraId="3AE990B8" w14:textId="77777777" w:rsidR="009E382C" w:rsidRDefault="009E382C">
            <w:pPr>
              <w:spacing w:after="0" w:line="240" w:lineRule="auto"/>
            </w:pPr>
            <w:r>
              <w:t>Data, Analytics &amp; Insight</w:t>
            </w:r>
          </w:p>
        </w:tc>
      </w:tr>
      <w:tr w:rsidR="004E0FF0" w:rsidRPr="004E0FF0" w14:paraId="77906166" w14:textId="77777777" w:rsidTr="004E0FF0">
        <w:trPr>
          <w:trHeight w:val="288"/>
        </w:trPr>
        <w:tc>
          <w:tcPr>
            <w:tcW w:w="773" w:type="pct"/>
            <w:shd w:val="clear" w:color="auto" w:fill="auto"/>
            <w:noWrap/>
            <w:hideMark/>
          </w:tcPr>
          <w:p w14:paraId="199BD6BB" w14:textId="77777777" w:rsidR="00394ABC" w:rsidRPr="004E0FF0" w:rsidRDefault="00394ABC" w:rsidP="004E0FF0">
            <w:pPr>
              <w:spacing w:after="0" w:line="240" w:lineRule="auto"/>
            </w:pPr>
            <w:r w:rsidRPr="004E0FF0">
              <w:rPr>
                <w:b/>
                <w:bCs/>
              </w:rPr>
              <w:t>Leadership Responsibility:</w:t>
            </w:r>
          </w:p>
        </w:tc>
        <w:tc>
          <w:tcPr>
            <w:tcW w:w="422" w:type="pct"/>
            <w:shd w:val="clear" w:color="auto" w:fill="auto"/>
            <w:noWrap/>
            <w:hideMark/>
          </w:tcPr>
          <w:p w14:paraId="0A898CD8" w14:textId="77777777" w:rsidR="00394ABC" w:rsidRPr="004E0FF0" w:rsidRDefault="00394ABC" w:rsidP="004E0FF0">
            <w:pPr>
              <w:spacing w:after="0" w:line="240" w:lineRule="auto"/>
              <w:rPr>
                <w:sz w:val="18"/>
                <w:szCs w:val="18"/>
              </w:rPr>
            </w:pPr>
            <w:r w:rsidRPr="004E0FF0">
              <w:rPr>
                <w:sz w:val="18"/>
                <w:szCs w:val="18"/>
              </w:rPr>
              <w:t>Direct</w:t>
            </w:r>
            <w:r w:rsidR="006D09CD" w:rsidRPr="004E0FF0">
              <w:rPr>
                <w:sz w:val="18"/>
                <w:szCs w:val="18"/>
              </w:rPr>
              <w:t xml:space="preserve"> Reports</w:t>
            </w:r>
            <w:r w:rsidRPr="004E0FF0">
              <w:rPr>
                <w:sz w:val="18"/>
                <w:szCs w:val="18"/>
              </w:rPr>
              <w:t>:</w:t>
            </w:r>
          </w:p>
        </w:tc>
        <w:tc>
          <w:tcPr>
            <w:tcW w:w="403" w:type="pct"/>
            <w:shd w:val="clear" w:color="auto" w:fill="auto"/>
            <w:noWrap/>
            <w:hideMark/>
          </w:tcPr>
          <w:p w14:paraId="59ECE3D4" w14:textId="77777777" w:rsidR="00394ABC" w:rsidRPr="004E0FF0" w:rsidRDefault="00A86A1B" w:rsidP="004E0FF0">
            <w:pPr>
              <w:spacing w:after="0" w:line="240" w:lineRule="auto"/>
            </w:pPr>
            <w:r w:rsidRPr="004E0FF0">
              <w:t>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14:paraId="6FED200B" w14:textId="77777777" w:rsidR="00394ABC" w:rsidRPr="004E0FF0" w:rsidRDefault="006D09CD" w:rsidP="004E0FF0">
            <w:pPr>
              <w:spacing w:after="0" w:line="240" w:lineRule="auto"/>
            </w:pPr>
            <w:r w:rsidRPr="004E0FF0">
              <w:rPr>
                <w:sz w:val="18"/>
                <w:szCs w:val="18"/>
              </w:rPr>
              <w:t>Indirect Reports:</w:t>
            </w:r>
          </w:p>
        </w:tc>
        <w:tc>
          <w:tcPr>
            <w:tcW w:w="356" w:type="pct"/>
            <w:gridSpan w:val="2"/>
            <w:shd w:val="clear" w:color="auto" w:fill="auto"/>
            <w:noWrap/>
          </w:tcPr>
          <w:p w14:paraId="76F332A4" w14:textId="77777777" w:rsidR="00394ABC" w:rsidRPr="004E0FF0" w:rsidRDefault="00A86A1B" w:rsidP="004E0FF0">
            <w:pPr>
              <w:spacing w:after="0" w:line="240" w:lineRule="auto"/>
            </w:pPr>
            <w:r w:rsidRPr="004E0FF0">
              <w:t>0</w:t>
            </w:r>
          </w:p>
        </w:tc>
        <w:tc>
          <w:tcPr>
            <w:tcW w:w="1086" w:type="pct"/>
            <w:shd w:val="clear" w:color="auto" w:fill="auto"/>
            <w:noWrap/>
          </w:tcPr>
          <w:p w14:paraId="6AEAA61A" w14:textId="77777777" w:rsidR="00394ABC" w:rsidRPr="004E0FF0" w:rsidRDefault="00394ABC" w:rsidP="004E0FF0">
            <w:pPr>
              <w:spacing w:after="0" w:line="240" w:lineRule="auto"/>
            </w:pPr>
            <w:r w:rsidRPr="004E0FF0">
              <w:rPr>
                <w:b/>
                <w:bCs/>
              </w:rPr>
              <w:t>Regulatory Info</w:t>
            </w:r>
            <w:r w:rsidR="00655A99" w:rsidRPr="004E0FF0">
              <w:rPr>
                <w:b/>
                <w:bCs/>
              </w:rPr>
              <w:t>rmation</w:t>
            </w:r>
            <w:r w:rsidRPr="004E0FF0">
              <w:rPr>
                <w:b/>
                <w:bCs/>
              </w:rPr>
              <w:t xml:space="preserve">: </w:t>
            </w:r>
          </w:p>
        </w:tc>
        <w:tc>
          <w:tcPr>
            <w:tcW w:w="1519" w:type="pct"/>
            <w:shd w:val="clear" w:color="auto" w:fill="auto"/>
            <w:noWrap/>
          </w:tcPr>
          <w:p w14:paraId="46F31C45" w14:textId="77777777" w:rsidR="00394ABC" w:rsidRPr="004E0FF0" w:rsidRDefault="00A86A1B" w:rsidP="004E0FF0">
            <w:pPr>
              <w:spacing w:after="0" w:line="240" w:lineRule="auto"/>
            </w:pPr>
            <w:r w:rsidRPr="004E0FF0">
              <w:t>Not Applicable</w:t>
            </w:r>
          </w:p>
        </w:tc>
      </w:tr>
      <w:tr w:rsidR="004E0FF0" w:rsidRPr="004E0FF0" w14:paraId="0CC5F058" w14:textId="77777777" w:rsidTr="004E0FF0">
        <w:trPr>
          <w:trHeight w:val="288"/>
        </w:trPr>
        <w:tc>
          <w:tcPr>
            <w:tcW w:w="773" w:type="pct"/>
            <w:shd w:val="clear" w:color="auto" w:fill="auto"/>
            <w:noWrap/>
            <w:hideMark/>
          </w:tcPr>
          <w:p w14:paraId="78F57A31" w14:textId="77777777" w:rsidR="00365EB1" w:rsidRPr="004E0FF0" w:rsidRDefault="00365EB1" w:rsidP="004E0FF0">
            <w:pPr>
              <w:spacing w:after="0" w:line="240" w:lineRule="auto"/>
              <w:rPr>
                <w:b/>
              </w:rPr>
            </w:pPr>
            <w:r w:rsidRPr="004E0FF0">
              <w:rPr>
                <w:b/>
              </w:rPr>
              <w:t>Location:</w:t>
            </w:r>
          </w:p>
        </w:tc>
        <w:tc>
          <w:tcPr>
            <w:tcW w:w="825" w:type="pct"/>
            <w:gridSpan w:val="2"/>
            <w:shd w:val="clear" w:color="auto" w:fill="auto"/>
            <w:noWrap/>
            <w:hideMark/>
          </w:tcPr>
          <w:p w14:paraId="7C5D989E" w14:textId="77777777" w:rsidR="00365EB1" w:rsidRPr="004E0FF0" w:rsidRDefault="00365EB1" w:rsidP="004E0FF0">
            <w:pPr>
              <w:spacing w:after="0" w:line="240" w:lineRule="auto"/>
            </w:pPr>
            <w:r w:rsidRPr="004E0FF0">
              <w:t>Coventry Area</w:t>
            </w:r>
          </w:p>
        </w:tc>
        <w:tc>
          <w:tcPr>
            <w:tcW w:w="797" w:type="pct"/>
            <w:gridSpan w:val="3"/>
            <w:shd w:val="clear" w:color="auto" w:fill="auto"/>
            <w:noWrap/>
            <w:hideMark/>
          </w:tcPr>
          <w:p w14:paraId="2DB4D81D" w14:textId="77777777" w:rsidR="00365EB1" w:rsidRPr="004E0FF0" w:rsidRDefault="00365EB1" w:rsidP="004E0FF0">
            <w:pPr>
              <w:spacing w:after="0" w:line="240" w:lineRule="auto"/>
            </w:pPr>
            <w:r w:rsidRPr="004E0FF0">
              <w:t>Working hours:</w:t>
            </w:r>
          </w:p>
        </w:tc>
        <w:tc>
          <w:tcPr>
            <w:tcW w:w="2605" w:type="pct"/>
            <w:gridSpan w:val="2"/>
            <w:shd w:val="clear" w:color="auto" w:fill="auto"/>
          </w:tcPr>
          <w:p w14:paraId="0DD3ADF9" w14:textId="77777777" w:rsidR="00365EB1" w:rsidRPr="004E0FF0" w:rsidRDefault="00AB3BD0" w:rsidP="004E0FF0">
            <w:pPr>
              <w:spacing w:after="0" w:line="240" w:lineRule="auto"/>
            </w:pPr>
            <w:r>
              <w:t>35</w:t>
            </w:r>
          </w:p>
        </w:tc>
      </w:tr>
      <w:tr w:rsidR="007221CE" w:rsidRPr="004E0FF0" w14:paraId="03D99936" w14:textId="77777777" w:rsidTr="004E0FF0">
        <w:trPr>
          <w:trHeight w:val="288"/>
        </w:trPr>
        <w:tc>
          <w:tcPr>
            <w:tcW w:w="5000" w:type="pct"/>
            <w:gridSpan w:val="8"/>
            <w:shd w:val="clear" w:color="auto" w:fill="auto"/>
            <w:noWrap/>
            <w:hideMark/>
          </w:tcPr>
          <w:p w14:paraId="20A20D01" w14:textId="77777777" w:rsidR="007221CE" w:rsidRPr="004E0FF0" w:rsidRDefault="007221CE" w:rsidP="004E0FF0">
            <w:pPr>
              <w:spacing w:after="0" w:line="240" w:lineRule="auto"/>
            </w:pPr>
            <w:r w:rsidRPr="004E0FF0">
              <w:rPr>
                <w:b/>
                <w:bCs/>
              </w:rPr>
              <w:t>ABOUT THE ROLE</w:t>
            </w:r>
            <w:r w:rsidRPr="004E0FF0">
              <w:t xml:space="preserve"> </w:t>
            </w:r>
          </w:p>
        </w:tc>
      </w:tr>
      <w:tr w:rsidR="007221CE" w:rsidRPr="004E0FF0" w14:paraId="08A33C59" w14:textId="77777777" w:rsidTr="004E0FF0">
        <w:trPr>
          <w:trHeight w:val="1216"/>
        </w:trPr>
        <w:tc>
          <w:tcPr>
            <w:tcW w:w="5000" w:type="pct"/>
            <w:gridSpan w:val="8"/>
            <w:shd w:val="clear" w:color="auto" w:fill="auto"/>
            <w:hideMark/>
          </w:tcPr>
          <w:p w14:paraId="5BDBBB63" w14:textId="1F043897" w:rsidR="00B31353" w:rsidRDefault="00D23818" w:rsidP="009A1D99">
            <w:pPr>
              <w:spacing w:after="0" w:line="240" w:lineRule="auto"/>
            </w:pPr>
            <w:r>
              <w:t xml:space="preserve">Effective </w:t>
            </w:r>
            <w:r w:rsidR="00167B98">
              <w:t xml:space="preserve">Financial Crime Risk Management </w:t>
            </w:r>
            <w:r w:rsidR="00910291">
              <w:t xml:space="preserve">leverages the information and data we hold to understand the Group’s risk profile and </w:t>
            </w:r>
            <w:r w:rsidR="00146025">
              <w:t>ensure that the appropriate controls are in place</w:t>
            </w:r>
            <w:r w:rsidR="00910291">
              <w:t xml:space="preserve">. </w:t>
            </w:r>
          </w:p>
          <w:p w14:paraId="541C4676" w14:textId="77777777" w:rsidR="009A1D99" w:rsidRDefault="009A1D99" w:rsidP="009A1D99">
            <w:pPr>
              <w:spacing w:after="0" w:line="240" w:lineRule="auto"/>
            </w:pPr>
          </w:p>
          <w:p w14:paraId="53367FB2" w14:textId="130999A3" w:rsidR="005640A3" w:rsidRDefault="004D0FCD" w:rsidP="00673590">
            <w:pPr>
              <w:spacing w:after="0" w:line="240" w:lineRule="auto"/>
            </w:pPr>
            <w:r>
              <w:t xml:space="preserve">The purpose of the role is to ensure that the </w:t>
            </w:r>
            <w:r w:rsidR="005640A3">
              <w:t>Group</w:t>
            </w:r>
            <w:r w:rsidR="00146025">
              <w:t>’s risk profile across all sub-risks is</w:t>
            </w:r>
            <w:r w:rsidR="00A5112F">
              <w:t xml:space="preserve"> identified,</w:t>
            </w:r>
            <w:r w:rsidR="00146025">
              <w:t xml:space="preserve"> quantified</w:t>
            </w:r>
            <w:r w:rsidR="00791D35">
              <w:t xml:space="preserve"> with recommendations made to ensure that trends and typologies are escalated for management attention and for agreement on the implementation of supporting controls. </w:t>
            </w:r>
          </w:p>
          <w:p w14:paraId="28A1CEE6" w14:textId="77777777" w:rsidR="005640A3" w:rsidRDefault="005640A3" w:rsidP="00673590">
            <w:pPr>
              <w:spacing w:after="0" w:line="240" w:lineRule="auto"/>
            </w:pPr>
          </w:p>
          <w:p w14:paraId="17B0B30A" w14:textId="29BA26E1" w:rsidR="004D0FCD" w:rsidRDefault="00684FC2" w:rsidP="00673590">
            <w:pPr>
              <w:spacing w:after="0" w:line="240" w:lineRule="auto"/>
            </w:pPr>
            <w:r>
              <w:t>You will</w:t>
            </w:r>
            <w:r w:rsidR="004D0FCD">
              <w:t xml:space="preserve"> identify</w:t>
            </w:r>
            <w:r w:rsidR="007C2BE1">
              <w:t xml:space="preserve"> risk indicators and </w:t>
            </w:r>
            <w:r>
              <w:t>design monitoring and escalation approaches</w:t>
            </w:r>
            <w:r w:rsidR="00EA6436">
              <w:t xml:space="preserve">. </w:t>
            </w:r>
          </w:p>
          <w:p w14:paraId="70D13396" w14:textId="77777777" w:rsidR="004D0FCD" w:rsidRDefault="004D0FCD" w:rsidP="00673590">
            <w:pPr>
              <w:spacing w:after="0" w:line="240" w:lineRule="auto"/>
            </w:pPr>
          </w:p>
          <w:p w14:paraId="24B50119" w14:textId="3E09B244" w:rsidR="004D0FCD" w:rsidRDefault="004D0FCD" w:rsidP="007C2BE1">
            <w:pPr>
              <w:spacing w:after="0" w:line="240" w:lineRule="auto"/>
            </w:pPr>
            <w:r>
              <w:t xml:space="preserve">Focused on money laundering and sanctions controls, </w:t>
            </w:r>
            <w:r w:rsidR="002A0E2A">
              <w:t xml:space="preserve">you will </w:t>
            </w:r>
            <w:r w:rsidR="00E04CA5" w:rsidRPr="004E0FF0">
              <w:t>lead complex projects and</w:t>
            </w:r>
            <w:r w:rsidR="000653B9">
              <w:t xml:space="preserve"> local</w:t>
            </w:r>
            <w:r w:rsidR="00E04CA5" w:rsidRPr="004E0FF0">
              <w:t xml:space="preserve"> initiatives </w:t>
            </w:r>
            <w:r w:rsidR="002A0E2A">
              <w:t xml:space="preserve">that </w:t>
            </w:r>
            <w:r w:rsidR="00B31353">
              <w:t>generate insights</w:t>
            </w:r>
            <w:r w:rsidR="00A86A1B" w:rsidRPr="004E0FF0">
              <w:t xml:space="preserve"> from the </w:t>
            </w:r>
            <w:r w:rsidR="00684FC2">
              <w:t>Group’s</w:t>
            </w:r>
            <w:r w:rsidR="00A86A1B" w:rsidRPr="004E0FF0">
              <w:t xml:space="preserve"> data using</w:t>
            </w:r>
            <w:r w:rsidR="00EE26E2">
              <w:t xml:space="preserve"> business intelligence </w:t>
            </w:r>
            <w:r w:rsidR="00A86A1B" w:rsidRPr="004E0FF0">
              <w:t>tools</w:t>
            </w:r>
            <w:r w:rsidR="007C2BE1">
              <w:t xml:space="preserve"> and third party </w:t>
            </w:r>
            <w:proofErr w:type="gramStart"/>
            <w:r w:rsidR="007C2BE1">
              <w:t>systems</w:t>
            </w:r>
            <w:r w:rsidR="000653B9">
              <w:t xml:space="preserve"> </w:t>
            </w:r>
            <w:r w:rsidR="00684FC2">
              <w:t>.</w:t>
            </w:r>
            <w:r w:rsidR="00A86A1B" w:rsidRPr="004E0FF0">
              <w:t>You</w:t>
            </w:r>
            <w:proofErr w:type="gramEnd"/>
            <w:r w:rsidR="00A86A1B" w:rsidRPr="004E0FF0">
              <w:t xml:space="preserve"> will work closely with business functions</w:t>
            </w:r>
            <w:r>
              <w:t xml:space="preserve"> and external suppliers</w:t>
            </w:r>
            <w:r w:rsidR="00A86A1B" w:rsidRPr="004E0FF0">
              <w:t xml:space="preserve"> to understand</w:t>
            </w:r>
            <w:r>
              <w:t xml:space="preserve"> money laundering</w:t>
            </w:r>
            <w:r w:rsidR="00A86A1B" w:rsidRPr="004E0FF0">
              <w:t xml:space="preserve"> </w:t>
            </w:r>
            <w:r>
              <w:t>risks, controls,</w:t>
            </w:r>
            <w:r w:rsidR="00A86A1B" w:rsidRPr="004E0FF0">
              <w:t xml:space="preserve"> challenges and opportunities, and then </w:t>
            </w:r>
            <w:r w:rsidR="00E04CA5" w:rsidRPr="004E0FF0">
              <w:t xml:space="preserve">coordinate delivery of solutions </w:t>
            </w:r>
            <w:r w:rsidR="00A86A1B" w:rsidRPr="004E0FF0">
              <w:t xml:space="preserve">in support of </w:t>
            </w:r>
            <w:r>
              <w:t>regulatory compliance</w:t>
            </w:r>
            <w:r w:rsidR="00A86A1B" w:rsidRPr="004E0FF0">
              <w:t xml:space="preserve">. </w:t>
            </w:r>
          </w:p>
          <w:p w14:paraId="15D0DC61" w14:textId="3F9B9D37" w:rsidR="00060B4E" w:rsidRPr="004E0FF0" w:rsidRDefault="00060B4E" w:rsidP="000653B9">
            <w:pPr>
              <w:spacing w:after="0" w:line="240" w:lineRule="auto"/>
            </w:pPr>
          </w:p>
        </w:tc>
      </w:tr>
      <w:tr w:rsidR="007221CE" w:rsidRPr="004E0FF0" w14:paraId="6297FEE9" w14:textId="77777777" w:rsidTr="004E0FF0">
        <w:trPr>
          <w:trHeight w:val="288"/>
        </w:trPr>
        <w:tc>
          <w:tcPr>
            <w:tcW w:w="5000" w:type="pct"/>
            <w:gridSpan w:val="8"/>
            <w:shd w:val="clear" w:color="auto" w:fill="auto"/>
            <w:noWrap/>
            <w:hideMark/>
          </w:tcPr>
          <w:p w14:paraId="794EE444" w14:textId="77777777" w:rsidR="007221CE" w:rsidRPr="004E0FF0" w:rsidRDefault="007221CE" w:rsidP="004E0FF0">
            <w:pPr>
              <w:spacing w:after="0" w:line="240" w:lineRule="auto"/>
            </w:pPr>
            <w:r w:rsidRPr="004E0FF0">
              <w:rPr>
                <w:b/>
                <w:bCs/>
              </w:rPr>
              <w:t>ABOUT YOU</w:t>
            </w:r>
            <w:r w:rsidRPr="004E0FF0">
              <w:t xml:space="preserve"> </w:t>
            </w:r>
          </w:p>
        </w:tc>
      </w:tr>
      <w:tr w:rsidR="007221CE" w:rsidRPr="004E0FF0" w14:paraId="0A786A88" w14:textId="77777777" w:rsidTr="004E0FF0">
        <w:trPr>
          <w:trHeight w:val="528"/>
        </w:trPr>
        <w:tc>
          <w:tcPr>
            <w:tcW w:w="5000" w:type="pct"/>
            <w:gridSpan w:val="8"/>
            <w:shd w:val="clear" w:color="auto" w:fill="auto"/>
            <w:hideMark/>
          </w:tcPr>
          <w:p w14:paraId="7C1B145F" w14:textId="77777777" w:rsidR="007221CE" w:rsidRDefault="00E04CA5" w:rsidP="00EE26E2">
            <w:pPr>
              <w:spacing w:after="0" w:line="240" w:lineRule="auto"/>
            </w:pPr>
            <w:r w:rsidRPr="004E0FF0">
              <w:t>Extensive</w:t>
            </w:r>
            <w:r w:rsidR="00A86A1B" w:rsidRPr="004E0FF0">
              <w:t xml:space="preserve"> experience in </w:t>
            </w:r>
            <w:r w:rsidR="000653B9">
              <w:t>data analytics</w:t>
            </w:r>
            <w:r w:rsidR="00AB3BD0">
              <w:t>,</w:t>
            </w:r>
            <w:r w:rsidR="00A86A1B" w:rsidRPr="004E0FF0">
              <w:t xml:space="preserve"> with expertise </w:t>
            </w:r>
            <w:r w:rsidR="00AB3BD0">
              <w:t xml:space="preserve">in </w:t>
            </w:r>
            <w:r w:rsidR="00EA6436">
              <w:t xml:space="preserve">using </w:t>
            </w:r>
            <w:r w:rsidR="000653B9">
              <w:t>d</w:t>
            </w:r>
            <w:r w:rsidR="00AB3BD0">
              <w:t>ata analysis</w:t>
            </w:r>
            <w:r w:rsidR="00A86A1B" w:rsidRPr="004E0FF0">
              <w:t xml:space="preserve"> </w:t>
            </w:r>
            <w:r w:rsidR="00EA6436">
              <w:t>to drive change.</w:t>
            </w:r>
          </w:p>
          <w:p w14:paraId="35E977A6" w14:textId="77777777" w:rsidR="004D0FCD" w:rsidRDefault="004D0FCD" w:rsidP="00EE26E2">
            <w:pPr>
              <w:spacing w:after="0" w:line="240" w:lineRule="auto"/>
            </w:pPr>
          </w:p>
          <w:p w14:paraId="589FEDF3" w14:textId="04D082FD" w:rsidR="004D0FCD" w:rsidRPr="004E0FF0" w:rsidRDefault="00060B4E" w:rsidP="000653B9">
            <w:pPr>
              <w:spacing w:after="0" w:line="240" w:lineRule="auto"/>
            </w:pPr>
            <w:r>
              <w:t>You</w:t>
            </w:r>
            <w:r w:rsidR="004D0FCD">
              <w:t xml:space="preserve"> will </w:t>
            </w:r>
            <w:r>
              <w:t xml:space="preserve">need a detailed </w:t>
            </w:r>
            <w:r w:rsidR="004D0FCD">
              <w:t xml:space="preserve">understanding of </w:t>
            </w:r>
            <w:r>
              <w:t>FC</w:t>
            </w:r>
            <w:r w:rsidR="004D0FCD">
              <w:t xml:space="preserve"> risk</w:t>
            </w:r>
            <w:r w:rsidR="007C2BE1">
              <w:t xml:space="preserve"> and regulation</w:t>
            </w:r>
            <w:r>
              <w:t xml:space="preserve"> to ensure t</w:t>
            </w:r>
            <w:r w:rsidR="004D5F2E">
              <w:t>hat the risks are detected and further queries made to quantity the extent of these risks</w:t>
            </w:r>
            <w:r w:rsidR="004D0FCD">
              <w:t xml:space="preserve">. </w:t>
            </w:r>
            <w:r w:rsidR="004D5F2E">
              <w:t>Equally</w:t>
            </w:r>
            <w:r w:rsidR="004D0FCD">
              <w:t xml:space="preserve"> important than this though, is your ability to </w:t>
            </w:r>
            <w:r w:rsidR="00EA6436">
              <w:t>use data to analyse control</w:t>
            </w:r>
            <w:r w:rsidR="004D0FCD">
              <w:t xml:space="preserve"> effectiveness</w:t>
            </w:r>
            <w:r w:rsidR="002A0E2A">
              <w:t xml:space="preserve"> using data modelling solutions and predictive analytics. </w:t>
            </w:r>
          </w:p>
        </w:tc>
      </w:tr>
      <w:tr w:rsidR="007221CE" w:rsidRPr="004E0FF0" w14:paraId="15B2D9DC" w14:textId="77777777" w:rsidTr="004E0FF0">
        <w:trPr>
          <w:trHeight w:val="288"/>
        </w:trPr>
        <w:tc>
          <w:tcPr>
            <w:tcW w:w="5000" w:type="pct"/>
            <w:gridSpan w:val="8"/>
            <w:shd w:val="clear" w:color="auto" w:fill="auto"/>
            <w:noWrap/>
            <w:hideMark/>
          </w:tcPr>
          <w:p w14:paraId="489BA26C" w14:textId="77777777" w:rsidR="007221CE" w:rsidRPr="004E0FF0" w:rsidRDefault="007221CE" w:rsidP="004E0FF0">
            <w:pPr>
              <w:spacing w:after="0" w:line="240" w:lineRule="auto"/>
            </w:pPr>
            <w:r w:rsidRPr="004E0FF0">
              <w:rPr>
                <w:b/>
              </w:rPr>
              <w:t>R</w:t>
            </w:r>
            <w:r w:rsidR="009A609E" w:rsidRPr="004E0FF0">
              <w:rPr>
                <w:b/>
              </w:rPr>
              <w:t>EQUIREMENTS</w:t>
            </w:r>
            <w:r w:rsidRPr="004E0FF0">
              <w:rPr>
                <w:b/>
              </w:rPr>
              <w:t xml:space="preserve">: </w:t>
            </w:r>
          </w:p>
        </w:tc>
      </w:tr>
      <w:tr w:rsidR="007221CE" w:rsidRPr="004E0FF0" w14:paraId="28681EBC" w14:textId="77777777" w:rsidTr="004E0FF0">
        <w:trPr>
          <w:trHeight w:val="3519"/>
        </w:trPr>
        <w:tc>
          <w:tcPr>
            <w:tcW w:w="5000" w:type="pct"/>
            <w:gridSpan w:val="8"/>
            <w:shd w:val="clear" w:color="auto" w:fill="auto"/>
          </w:tcPr>
          <w:p w14:paraId="34BF0B2C" w14:textId="5ED5EF13" w:rsidR="004D5F2E" w:rsidRDefault="00AD09A9" w:rsidP="0067359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napToGrid w:val="0"/>
                <w:color w:val="000000"/>
              </w:rPr>
            </w:pPr>
            <w:r>
              <w:rPr>
                <w:rFonts w:cs="Calibri"/>
                <w:snapToGrid w:val="0"/>
                <w:color w:val="000000"/>
              </w:rPr>
              <w:t xml:space="preserve">Experience of FC risk typologies across all FC risk types </w:t>
            </w:r>
          </w:p>
          <w:p w14:paraId="7E7DA721" w14:textId="5C809D05" w:rsidR="00AD09A9" w:rsidRDefault="00AD09A9" w:rsidP="0067359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napToGrid w:val="0"/>
                <w:color w:val="000000"/>
              </w:rPr>
            </w:pPr>
            <w:r>
              <w:rPr>
                <w:rFonts w:cs="Calibri"/>
                <w:snapToGrid w:val="0"/>
                <w:color w:val="000000"/>
              </w:rPr>
              <w:t>Risk awareness and the ability to identify risks and trends in the data</w:t>
            </w:r>
            <w:r w:rsidR="0058756A">
              <w:rPr>
                <w:rFonts w:cs="Calibri"/>
                <w:snapToGrid w:val="0"/>
                <w:color w:val="000000"/>
              </w:rPr>
              <w:t xml:space="preserve"> – and make appropriate recommendations, including the definition of follow up queries. </w:t>
            </w:r>
          </w:p>
          <w:p w14:paraId="095C917C" w14:textId="4E3DD271" w:rsidR="002A0E2A" w:rsidRDefault="00B27782" w:rsidP="0067359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napToGrid w:val="0"/>
                <w:color w:val="000000"/>
              </w:rPr>
            </w:pPr>
            <w:r w:rsidRPr="00673590">
              <w:rPr>
                <w:rFonts w:cs="Calibri"/>
                <w:snapToGrid w:val="0"/>
                <w:color w:val="000000"/>
              </w:rPr>
              <w:t xml:space="preserve">Expert in writing freehand </w:t>
            </w:r>
            <w:proofErr w:type="gramStart"/>
            <w:r w:rsidRPr="00673590">
              <w:rPr>
                <w:rFonts w:cs="Calibri"/>
                <w:snapToGrid w:val="0"/>
                <w:color w:val="000000"/>
              </w:rPr>
              <w:t>SQL</w:t>
            </w:r>
            <w:r w:rsidR="00EE26E2" w:rsidRPr="00673590">
              <w:rPr>
                <w:rFonts w:cs="Calibri"/>
                <w:snapToGrid w:val="0"/>
                <w:color w:val="000000"/>
              </w:rPr>
              <w:t xml:space="preserve">  </w:t>
            </w:r>
            <w:r w:rsidR="00EA6436">
              <w:rPr>
                <w:rFonts w:cs="Calibri"/>
                <w:snapToGrid w:val="0"/>
                <w:color w:val="000000"/>
              </w:rPr>
              <w:t>(</w:t>
            </w:r>
            <w:proofErr w:type="gramEnd"/>
            <w:r w:rsidR="00EA6436">
              <w:rPr>
                <w:rFonts w:cs="Calibri"/>
                <w:snapToGrid w:val="0"/>
                <w:color w:val="000000"/>
              </w:rPr>
              <w:t>or similar)</w:t>
            </w:r>
          </w:p>
          <w:p w14:paraId="3F45FD3E" w14:textId="77777777" w:rsidR="00AB3BD0" w:rsidRPr="004E0FF0" w:rsidRDefault="00B27782" w:rsidP="004E0FF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napToGrid w:val="0"/>
                <w:color w:val="000000"/>
              </w:rPr>
            </w:pPr>
            <w:r>
              <w:rPr>
                <w:rFonts w:cs="Calibri"/>
                <w:snapToGrid w:val="0"/>
                <w:color w:val="000000"/>
              </w:rPr>
              <w:t>Data modelling software</w:t>
            </w:r>
          </w:p>
          <w:p w14:paraId="7B10FA07" w14:textId="77777777" w:rsidR="00EE26E2" w:rsidRDefault="0008336A" w:rsidP="00DD24D8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napToGrid w:val="0"/>
                <w:color w:val="000000"/>
              </w:rPr>
            </w:pPr>
            <w:r>
              <w:rPr>
                <w:rFonts w:cs="Calibri"/>
                <w:snapToGrid w:val="0"/>
                <w:color w:val="000000"/>
              </w:rPr>
              <w:t xml:space="preserve">Business Intelligence and </w:t>
            </w:r>
            <w:r w:rsidRPr="008338CB">
              <w:rPr>
                <w:rFonts w:cs="Calibri"/>
                <w:i/>
                <w:snapToGrid w:val="0"/>
                <w:color w:val="000000"/>
              </w:rPr>
              <w:t>ad hoc</w:t>
            </w:r>
            <w:r>
              <w:rPr>
                <w:rFonts w:cs="Calibri"/>
                <w:snapToGrid w:val="0"/>
                <w:color w:val="000000"/>
              </w:rPr>
              <w:t xml:space="preserve"> r</w:t>
            </w:r>
            <w:r w:rsidR="00AB3BD0">
              <w:rPr>
                <w:rFonts w:cs="Calibri"/>
                <w:snapToGrid w:val="0"/>
                <w:color w:val="000000"/>
              </w:rPr>
              <w:t xml:space="preserve">eporting Tools </w:t>
            </w:r>
          </w:p>
          <w:p w14:paraId="5554DBD2" w14:textId="77777777" w:rsidR="002A0E2A" w:rsidRDefault="00EE26E2" w:rsidP="00673590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napToGrid w:val="0"/>
                <w:color w:val="000000"/>
              </w:rPr>
            </w:pPr>
            <w:r w:rsidRPr="00673590">
              <w:rPr>
                <w:rFonts w:cs="Calibri"/>
                <w:snapToGrid w:val="0"/>
                <w:color w:val="000000"/>
              </w:rPr>
              <w:t>Data visualisation</w:t>
            </w:r>
            <w:r w:rsidR="00A86A1B" w:rsidRPr="00673590">
              <w:rPr>
                <w:rFonts w:cs="Calibri"/>
                <w:snapToGrid w:val="0"/>
                <w:color w:val="000000"/>
              </w:rPr>
              <w:t xml:space="preserve"> </w:t>
            </w:r>
            <w:r w:rsidRPr="00673590">
              <w:rPr>
                <w:rFonts w:cs="Calibri"/>
                <w:snapToGrid w:val="0"/>
                <w:color w:val="000000"/>
              </w:rPr>
              <w:t>and dashboard</w:t>
            </w:r>
            <w:r w:rsidR="0008336A" w:rsidRPr="00673590">
              <w:rPr>
                <w:rFonts w:cs="Calibri"/>
                <w:snapToGrid w:val="0"/>
                <w:color w:val="000000"/>
              </w:rPr>
              <w:t>s</w:t>
            </w:r>
            <w:r w:rsidRPr="00673590">
              <w:rPr>
                <w:rFonts w:cs="Calibri"/>
                <w:snapToGrid w:val="0"/>
                <w:color w:val="000000"/>
              </w:rPr>
              <w:t xml:space="preserve"> </w:t>
            </w:r>
          </w:p>
          <w:p w14:paraId="1CB1521B" w14:textId="0C8071C5" w:rsidR="00A86A1B" w:rsidRPr="0058756A" w:rsidRDefault="00A86A1B" w:rsidP="0058756A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cs="Arial"/>
                <w:snapToGrid w:val="0"/>
                <w:color w:val="000000"/>
              </w:rPr>
            </w:pPr>
            <w:r w:rsidRPr="00673590">
              <w:rPr>
                <w:rFonts w:cs="Arial"/>
                <w:snapToGrid w:val="0"/>
                <w:color w:val="000000"/>
              </w:rPr>
              <w:t>Communication</w:t>
            </w:r>
            <w:r w:rsidR="00EE26E2" w:rsidRPr="00673590">
              <w:rPr>
                <w:rFonts w:cs="Arial"/>
                <w:snapToGrid w:val="0"/>
                <w:color w:val="000000"/>
              </w:rPr>
              <w:t xml:space="preserve"> and </w:t>
            </w:r>
            <w:r w:rsidRPr="00673590">
              <w:rPr>
                <w:rFonts w:cs="Arial"/>
                <w:snapToGrid w:val="0"/>
                <w:color w:val="000000"/>
              </w:rPr>
              <w:t>presentation skills with the ability to convey complex ideas simply</w:t>
            </w:r>
            <w:r w:rsidR="00EE26E2" w:rsidRPr="00673590">
              <w:rPr>
                <w:rFonts w:cs="Arial"/>
                <w:snapToGrid w:val="0"/>
                <w:color w:val="000000"/>
              </w:rPr>
              <w:t xml:space="preserve"> and </w:t>
            </w:r>
            <w:r w:rsidR="0008336A" w:rsidRPr="00673590">
              <w:rPr>
                <w:rFonts w:cs="Arial"/>
                <w:snapToGrid w:val="0"/>
                <w:color w:val="000000"/>
              </w:rPr>
              <w:t>tell the story through data</w:t>
            </w:r>
          </w:p>
          <w:p w14:paraId="59A7956C" w14:textId="77777777" w:rsidR="00EE26E2" w:rsidRDefault="00A86A1B" w:rsidP="008338CB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snapToGrid w:val="0"/>
                <w:color w:val="000000"/>
              </w:rPr>
            </w:pPr>
            <w:r w:rsidRPr="004E0FF0">
              <w:rPr>
                <w:rFonts w:cs="Arial"/>
                <w:snapToGrid w:val="0"/>
                <w:color w:val="000000"/>
              </w:rPr>
              <w:t xml:space="preserve">Stakeholder management skills </w:t>
            </w:r>
            <w:r w:rsidR="0008336A">
              <w:rPr>
                <w:snapToGrid w:val="0"/>
                <w:color w:val="000000"/>
              </w:rPr>
              <w:t>with the ability to influence and</w:t>
            </w:r>
            <w:r w:rsidR="0008336A" w:rsidRPr="004E0FF0">
              <w:rPr>
                <w:snapToGrid w:val="0"/>
                <w:color w:val="000000"/>
              </w:rPr>
              <w:t xml:space="preserve"> </w:t>
            </w:r>
            <w:r w:rsidRPr="004E0FF0">
              <w:rPr>
                <w:snapToGrid w:val="0"/>
                <w:color w:val="000000"/>
              </w:rPr>
              <w:t>gain buy in through key working relationships</w:t>
            </w:r>
          </w:p>
          <w:p w14:paraId="0D1C323E" w14:textId="77777777" w:rsidR="0008336A" w:rsidRDefault="0008336A" w:rsidP="008338CB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Knowledge of Excel</w:t>
            </w:r>
          </w:p>
          <w:p w14:paraId="0DC03E7B" w14:textId="77777777" w:rsidR="00A86A1B" w:rsidRPr="004E0FF0" w:rsidRDefault="00A86A1B" w:rsidP="008338CB">
            <w:pPr>
              <w:widowControl w:val="0"/>
              <w:spacing w:after="0" w:line="240" w:lineRule="auto"/>
              <w:rPr>
                <w:snapToGrid w:val="0"/>
                <w:color w:val="000000"/>
              </w:rPr>
            </w:pPr>
          </w:p>
          <w:p w14:paraId="2329B2E0" w14:textId="77777777" w:rsidR="00A86A1B" w:rsidRDefault="00A86A1B" w:rsidP="004E0FF0">
            <w:pPr>
              <w:widowControl w:val="0"/>
              <w:spacing w:after="0" w:line="240" w:lineRule="auto"/>
              <w:rPr>
                <w:rFonts w:cs="Calibri"/>
                <w:snapToGrid w:val="0"/>
                <w:color w:val="000000"/>
              </w:rPr>
            </w:pPr>
            <w:r w:rsidRPr="004E0FF0">
              <w:rPr>
                <w:rFonts w:cs="Calibri"/>
                <w:snapToGrid w:val="0"/>
                <w:color w:val="000000"/>
              </w:rPr>
              <w:t>Preferred but not essential:</w:t>
            </w:r>
          </w:p>
          <w:p w14:paraId="11C00C13" w14:textId="77777777" w:rsidR="005B5E69" w:rsidRDefault="005B5E69" w:rsidP="005B5E69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cs="Calibri"/>
                <w:snapToGrid w:val="0"/>
                <w:color w:val="000000"/>
              </w:rPr>
            </w:pPr>
            <w:r>
              <w:rPr>
                <w:rFonts w:cs="Calibri"/>
                <w:snapToGrid w:val="0"/>
                <w:color w:val="000000"/>
              </w:rPr>
              <w:t>Strong presenting skills</w:t>
            </w:r>
          </w:p>
          <w:p w14:paraId="0F9C006F" w14:textId="77777777" w:rsidR="00A86A1B" w:rsidRPr="004E0FF0" w:rsidRDefault="00A86A1B" w:rsidP="004E0FF0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snapToGrid w:val="0"/>
                <w:color w:val="000000"/>
              </w:rPr>
            </w:pPr>
            <w:r w:rsidRPr="004E0FF0">
              <w:rPr>
                <w:rFonts w:cs="Calibri"/>
                <w:snapToGrid w:val="0"/>
                <w:color w:val="000000"/>
              </w:rPr>
              <w:t xml:space="preserve">Degree or equivalent in a numerate discipline </w:t>
            </w:r>
          </w:p>
          <w:p w14:paraId="3D7764F0" w14:textId="7021D303" w:rsidR="002A0E2A" w:rsidRPr="004E0FF0" w:rsidRDefault="00A86A1B" w:rsidP="0058756A">
            <w:pPr>
              <w:widowControl w:val="0"/>
              <w:numPr>
                <w:ilvl w:val="0"/>
                <w:numId w:val="2"/>
              </w:numPr>
              <w:spacing w:after="0" w:line="240" w:lineRule="auto"/>
            </w:pPr>
            <w:r w:rsidRPr="004E0FF0">
              <w:rPr>
                <w:rFonts w:cs="Calibri"/>
                <w:snapToGrid w:val="0"/>
                <w:color w:val="000000"/>
              </w:rPr>
              <w:t xml:space="preserve">Knowledge of financial services </w:t>
            </w:r>
          </w:p>
        </w:tc>
      </w:tr>
    </w:tbl>
    <w:p w14:paraId="3D6FDA14" w14:textId="77777777" w:rsidR="009A609E" w:rsidRDefault="009A609E">
      <w:r>
        <w:br w:type="page"/>
      </w:r>
    </w:p>
    <w:p w14:paraId="070E0B8F" w14:textId="77777777" w:rsidR="007221CE" w:rsidRDefault="007221CE"/>
    <w:tbl>
      <w:tblPr>
        <w:tblW w:w="102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1"/>
        <w:gridCol w:w="8327"/>
      </w:tblGrid>
      <w:tr w:rsidR="007221CE" w:rsidRPr="004E0FF0" w14:paraId="23D9AF6B" w14:textId="77777777" w:rsidTr="004E0FF0">
        <w:trPr>
          <w:trHeight w:val="288"/>
        </w:trPr>
        <w:tc>
          <w:tcPr>
            <w:tcW w:w="10208" w:type="dxa"/>
            <w:gridSpan w:val="2"/>
            <w:shd w:val="clear" w:color="auto" w:fill="auto"/>
            <w:noWrap/>
            <w:hideMark/>
          </w:tcPr>
          <w:p w14:paraId="40DE1BB4" w14:textId="77777777" w:rsidR="007221CE" w:rsidRPr="004E0FF0" w:rsidRDefault="007221CE" w:rsidP="004E0FF0">
            <w:pPr>
              <w:spacing w:after="0" w:line="240" w:lineRule="auto"/>
            </w:pPr>
            <w:r w:rsidRPr="004E0FF0">
              <w:rPr>
                <w:b/>
                <w:bCs/>
              </w:rPr>
              <w:t>YOUR KEY RESPONSIBILITIES</w:t>
            </w:r>
            <w:r w:rsidRPr="004E0FF0">
              <w:t>. (Additional detailed performance objectives will be set by your manager)</w:t>
            </w:r>
          </w:p>
        </w:tc>
      </w:tr>
      <w:tr w:rsidR="008B6FD3" w:rsidRPr="004E0FF0" w14:paraId="3A20E87E" w14:textId="77777777" w:rsidTr="004E0FF0">
        <w:trPr>
          <w:trHeight w:val="1500"/>
        </w:trPr>
        <w:tc>
          <w:tcPr>
            <w:tcW w:w="1881" w:type="dxa"/>
            <w:shd w:val="clear" w:color="auto" w:fill="auto"/>
          </w:tcPr>
          <w:p w14:paraId="712B6C57" w14:textId="77777777" w:rsidR="008B6FD3" w:rsidRPr="004E0FF0" w:rsidRDefault="008B6FD3" w:rsidP="004E0FF0">
            <w:pPr>
              <w:spacing w:after="0" w:line="240" w:lineRule="auto"/>
              <w:rPr>
                <w:b/>
                <w:bCs/>
              </w:rPr>
            </w:pPr>
            <w:r w:rsidRPr="004E0FF0">
              <w:rPr>
                <w:b/>
                <w:bCs/>
              </w:rPr>
              <w:t>General Profile</w:t>
            </w:r>
          </w:p>
        </w:tc>
        <w:tc>
          <w:tcPr>
            <w:tcW w:w="8327" w:type="dxa"/>
            <w:shd w:val="clear" w:color="auto" w:fill="auto"/>
          </w:tcPr>
          <w:p w14:paraId="576D2698" w14:textId="743D7157" w:rsidR="002E0385" w:rsidRDefault="005B2116" w:rsidP="004E0FF0">
            <w:pPr>
              <w:spacing w:after="0" w:line="240" w:lineRule="auto"/>
            </w:pPr>
            <w:r w:rsidRPr="004E0FF0">
              <w:t xml:space="preserve">You will be accountable for </w:t>
            </w:r>
            <w:r w:rsidR="001E44DE">
              <w:t xml:space="preserve">the </w:t>
            </w:r>
            <w:r w:rsidRPr="004E0FF0">
              <w:t>delivery o</w:t>
            </w:r>
            <w:r w:rsidR="002E0385">
              <w:t xml:space="preserve">f Financial Crime data analytics – proactively identifying FC risk indicators / emerging typologies and leveraging the data held to identify the risk exposure within the Group. </w:t>
            </w:r>
            <w:r w:rsidR="001C22E5">
              <w:t xml:space="preserve">Where exposure is identified, further data analytics may be necessary to target risk conclusions and to ensure that recommendations are appropriate. </w:t>
            </w:r>
          </w:p>
          <w:p w14:paraId="5625B2EB" w14:textId="77777777" w:rsidR="002E0385" w:rsidRDefault="002E0385" w:rsidP="004E0FF0">
            <w:pPr>
              <w:spacing w:after="0" w:line="240" w:lineRule="auto"/>
            </w:pPr>
          </w:p>
          <w:p w14:paraId="70BE6EAD" w14:textId="636DABB3" w:rsidR="001E44DE" w:rsidRPr="001E44DE" w:rsidRDefault="00B31353" w:rsidP="001E44DE">
            <w:pPr>
              <w:rPr>
                <w:color w:val="000000"/>
              </w:rPr>
            </w:pPr>
            <w:r>
              <w:rPr>
                <w:color w:val="000000"/>
              </w:rPr>
              <w:t xml:space="preserve">In your capacity as </w:t>
            </w:r>
            <w:r w:rsidR="001C22E5">
              <w:rPr>
                <w:color w:val="000000"/>
              </w:rPr>
              <w:t>MI data analyst</w:t>
            </w:r>
            <w:r>
              <w:rPr>
                <w:color w:val="000000"/>
              </w:rPr>
              <w:t>,</w:t>
            </w:r>
            <w:r w:rsidR="001E44DE">
              <w:rPr>
                <w:color w:val="000000"/>
              </w:rPr>
              <w:t xml:space="preserve"> your role will involve:</w:t>
            </w:r>
          </w:p>
          <w:p w14:paraId="02396953" w14:textId="20FDC253" w:rsidR="00251B89" w:rsidRDefault="00251B89" w:rsidP="001E44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Working with the Senior Manager Risk Assessment in executing the data analysis required for the Financial Crime Risk Assessment. Where risk indicators are identified, proactively</w:t>
            </w:r>
            <w:r w:rsidR="002E3606">
              <w:rPr>
                <w:color w:val="000000"/>
              </w:rPr>
              <w:t xml:space="preserve">, develop further queries to quantify risks. </w:t>
            </w:r>
          </w:p>
          <w:p w14:paraId="2F84F1E8" w14:textId="4419EDF3" w:rsidR="002E3606" w:rsidRDefault="002E3606" w:rsidP="001E44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Support the Senior Manager in testing proposed changes to customer risk assessment methodologies making recommendations based on industry insight and results identified. </w:t>
            </w:r>
          </w:p>
          <w:p w14:paraId="3A9422E2" w14:textId="6572F403" w:rsidR="002E3606" w:rsidRDefault="00FE4A2D" w:rsidP="001E44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Across all FC sub risks, design and implement risk reporting to ensure that risk typologies, both new and emerging, are </w:t>
            </w:r>
            <w:r w:rsidR="0098488A">
              <w:rPr>
                <w:color w:val="000000"/>
              </w:rPr>
              <w:t xml:space="preserve">identified, quantified and tracked. </w:t>
            </w:r>
          </w:p>
          <w:p w14:paraId="57910682" w14:textId="77777777" w:rsidR="00D72D9C" w:rsidRDefault="00D530D1" w:rsidP="001E44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Write up reports, to take through Group governance, which sets out findings and </w:t>
            </w:r>
            <w:r w:rsidR="00D72D9C">
              <w:rPr>
                <w:color w:val="000000"/>
              </w:rPr>
              <w:t xml:space="preserve">propose </w:t>
            </w:r>
            <w:r>
              <w:rPr>
                <w:color w:val="000000"/>
              </w:rPr>
              <w:t>recommendations</w:t>
            </w:r>
            <w:r w:rsidR="00D72D9C">
              <w:rPr>
                <w:color w:val="000000"/>
              </w:rPr>
              <w:t>, working with 1</w:t>
            </w:r>
            <w:r w:rsidR="00D72D9C" w:rsidRPr="00D72D9C">
              <w:rPr>
                <w:color w:val="000000"/>
                <w:vertAlign w:val="superscript"/>
              </w:rPr>
              <w:t>st</w:t>
            </w:r>
            <w:r w:rsidR="00D72D9C">
              <w:rPr>
                <w:color w:val="000000"/>
              </w:rPr>
              <w:t xml:space="preserve"> line teams. </w:t>
            </w:r>
          </w:p>
          <w:p w14:paraId="20CAF596" w14:textId="5E4C1E15" w:rsidR="00D530D1" w:rsidRDefault="00D72D9C" w:rsidP="001E44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Receive external updates from UK Finance and JMLIT / OFSI notices, quantifying risk exposure within the Group and providing the results to the MLRO with recommendations on next steps. </w:t>
            </w:r>
            <w:r w:rsidR="00D530D1">
              <w:rPr>
                <w:color w:val="000000"/>
              </w:rPr>
              <w:t xml:space="preserve"> </w:t>
            </w:r>
          </w:p>
          <w:p w14:paraId="47775F31" w14:textId="217CDAD8" w:rsidR="001E44DE" w:rsidRPr="001E44DE" w:rsidRDefault="001E44DE" w:rsidP="001E44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000000"/>
              </w:rPr>
            </w:pPr>
            <w:r w:rsidRPr="001E44DE">
              <w:rPr>
                <w:color w:val="000000"/>
              </w:rPr>
              <w:t>Liaising</w:t>
            </w:r>
            <w:r w:rsidR="00501CFF">
              <w:rPr>
                <w:color w:val="000000"/>
              </w:rPr>
              <w:t xml:space="preserve"> and work</w:t>
            </w:r>
            <w:r w:rsidRPr="001E44DE">
              <w:rPr>
                <w:color w:val="000000"/>
              </w:rPr>
              <w:t xml:space="preserve"> with stakeholders on a regular basis providing business updates in relation to </w:t>
            </w:r>
            <w:r w:rsidR="00D72D9C">
              <w:rPr>
                <w:color w:val="000000"/>
              </w:rPr>
              <w:t>work underway</w:t>
            </w:r>
            <w:r w:rsidRPr="001E44DE">
              <w:rPr>
                <w:color w:val="000000"/>
              </w:rPr>
              <w:t xml:space="preserve">. </w:t>
            </w:r>
          </w:p>
          <w:p w14:paraId="498BA7D4" w14:textId="5F7E25AA" w:rsidR="001E44DE" w:rsidRPr="001E44DE" w:rsidRDefault="001E44DE" w:rsidP="001E44D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000000"/>
              </w:rPr>
            </w:pPr>
            <w:r w:rsidRPr="001E44DE">
              <w:rPr>
                <w:color w:val="000000"/>
              </w:rPr>
              <w:t xml:space="preserve">Analyse </w:t>
            </w:r>
            <w:r w:rsidR="00D72D9C">
              <w:rPr>
                <w:color w:val="000000"/>
              </w:rPr>
              <w:t>internal escalations and</w:t>
            </w:r>
            <w:r w:rsidRPr="001E44DE">
              <w:rPr>
                <w:color w:val="000000"/>
              </w:rPr>
              <w:t xml:space="preserve"> reports, identifying trends </w:t>
            </w:r>
            <w:r w:rsidR="00501CFF" w:rsidRPr="001E44DE">
              <w:rPr>
                <w:color w:val="000000"/>
              </w:rPr>
              <w:t>and opportunities</w:t>
            </w:r>
            <w:r w:rsidRPr="001E44DE">
              <w:rPr>
                <w:color w:val="000000"/>
              </w:rPr>
              <w:t xml:space="preserve"> to enhance </w:t>
            </w:r>
            <w:r w:rsidR="00501CFF">
              <w:rPr>
                <w:color w:val="000000"/>
              </w:rPr>
              <w:t>controls</w:t>
            </w:r>
          </w:p>
          <w:p w14:paraId="0A35BA57" w14:textId="77777777" w:rsidR="001E44DE" w:rsidRPr="004E0FF0" w:rsidRDefault="001E44DE" w:rsidP="004E0FF0">
            <w:pPr>
              <w:spacing w:after="0" w:line="240" w:lineRule="auto"/>
            </w:pPr>
          </w:p>
          <w:p w14:paraId="4A3A5021" w14:textId="77777777" w:rsidR="00AB3BD0" w:rsidRPr="004E0FF0" w:rsidRDefault="00AB3BD0" w:rsidP="001E44DE">
            <w:pPr>
              <w:spacing w:after="0" w:line="240" w:lineRule="auto"/>
            </w:pPr>
          </w:p>
        </w:tc>
      </w:tr>
      <w:tr w:rsidR="0030430B" w:rsidRPr="004E0FF0" w14:paraId="71AC1901" w14:textId="77777777" w:rsidTr="004E0FF0">
        <w:trPr>
          <w:trHeight w:val="848"/>
        </w:trPr>
        <w:tc>
          <w:tcPr>
            <w:tcW w:w="1881" w:type="dxa"/>
            <w:shd w:val="clear" w:color="auto" w:fill="auto"/>
            <w:hideMark/>
          </w:tcPr>
          <w:p w14:paraId="1B83EFD5" w14:textId="77777777" w:rsidR="0030430B" w:rsidRPr="004E0FF0" w:rsidRDefault="0030430B" w:rsidP="004E0FF0">
            <w:pPr>
              <w:spacing w:after="0" w:line="240" w:lineRule="auto"/>
              <w:rPr>
                <w:b/>
                <w:bCs/>
              </w:rPr>
            </w:pPr>
            <w:r w:rsidRPr="004E0FF0">
              <w:rPr>
                <w:b/>
                <w:bCs/>
              </w:rPr>
              <w:t>People &amp; Relationships</w:t>
            </w:r>
          </w:p>
        </w:tc>
        <w:tc>
          <w:tcPr>
            <w:tcW w:w="8327" w:type="dxa"/>
            <w:shd w:val="clear" w:color="auto" w:fill="auto"/>
          </w:tcPr>
          <w:p w14:paraId="2F9491DA" w14:textId="2713877D" w:rsidR="00A86A1B" w:rsidRPr="004E0FF0" w:rsidRDefault="001F6AF0" w:rsidP="001E44DE">
            <w:pPr>
              <w:spacing w:after="0" w:line="240" w:lineRule="auto"/>
            </w:pPr>
            <w:r w:rsidRPr="004E0FF0">
              <w:t xml:space="preserve">You will work collaboratively with a range of </w:t>
            </w:r>
            <w:r w:rsidR="00A86A1B" w:rsidRPr="004E0FF0">
              <w:t>busin</w:t>
            </w:r>
            <w:r w:rsidR="009C7D83" w:rsidRPr="004E0FF0">
              <w:t xml:space="preserve">ess functions across the </w:t>
            </w:r>
            <w:r w:rsidR="00501CFF">
              <w:t>Group</w:t>
            </w:r>
            <w:r w:rsidR="001E44DE">
              <w:t xml:space="preserve"> and industry</w:t>
            </w:r>
            <w:r w:rsidR="009C7D83" w:rsidRPr="004E0FF0">
              <w:t>, engaging key stakeholders both internally and externally</w:t>
            </w:r>
            <w:r w:rsidR="001E44DE">
              <w:t>. You will have a strong working relationship with external software suppliers.</w:t>
            </w:r>
            <w:r w:rsidR="000547F9" w:rsidRPr="004E0FF0">
              <w:t xml:space="preserve"> </w:t>
            </w:r>
          </w:p>
        </w:tc>
      </w:tr>
      <w:tr w:rsidR="0030430B" w:rsidRPr="004E0FF0" w14:paraId="717B9A20" w14:textId="77777777" w:rsidTr="004E0FF0">
        <w:trPr>
          <w:trHeight w:val="898"/>
        </w:trPr>
        <w:tc>
          <w:tcPr>
            <w:tcW w:w="1881" w:type="dxa"/>
            <w:shd w:val="clear" w:color="auto" w:fill="auto"/>
            <w:hideMark/>
          </w:tcPr>
          <w:p w14:paraId="72484022" w14:textId="77777777" w:rsidR="0030430B" w:rsidRPr="004E0FF0" w:rsidRDefault="0030430B" w:rsidP="004E0FF0">
            <w:pPr>
              <w:spacing w:after="0" w:line="240" w:lineRule="auto"/>
              <w:rPr>
                <w:b/>
                <w:bCs/>
              </w:rPr>
            </w:pPr>
            <w:r w:rsidRPr="004E0FF0">
              <w:rPr>
                <w:b/>
                <w:bCs/>
              </w:rPr>
              <w:t>Governance, Risk &amp; Controls</w:t>
            </w:r>
          </w:p>
        </w:tc>
        <w:tc>
          <w:tcPr>
            <w:tcW w:w="8327" w:type="dxa"/>
            <w:shd w:val="clear" w:color="auto" w:fill="auto"/>
          </w:tcPr>
          <w:p w14:paraId="58D15375" w14:textId="4D3DBE6A" w:rsidR="009C7D83" w:rsidRPr="004E0FF0" w:rsidRDefault="00E77C65" w:rsidP="00673590">
            <w:pPr>
              <w:spacing w:after="0" w:line="240" w:lineRule="auto"/>
            </w:pPr>
            <w:r>
              <w:t xml:space="preserve">You will work closely with </w:t>
            </w:r>
            <w:r w:rsidR="00FB1935">
              <w:t>other FC teams, both within 2</w:t>
            </w:r>
            <w:r w:rsidR="00FB1935" w:rsidRPr="00FB1935">
              <w:rPr>
                <w:vertAlign w:val="superscript"/>
              </w:rPr>
              <w:t>nd</w:t>
            </w:r>
            <w:r w:rsidR="00FB1935">
              <w:t xml:space="preserve"> line and 1</w:t>
            </w:r>
            <w:r w:rsidR="00FB1935" w:rsidRPr="00FB1935">
              <w:rPr>
                <w:vertAlign w:val="superscript"/>
              </w:rPr>
              <w:t>st</w:t>
            </w:r>
            <w:r w:rsidR="00FB1935">
              <w:t xml:space="preserve"> line.</w:t>
            </w:r>
            <w:r>
              <w:t xml:space="preserve"> You will embed, maintain and facilitate continuous improvement of the</w:t>
            </w:r>
            <w:r w:rsidR="00461FAA">
              <w:t xml:space="preserve"> </w:t>
            </w:r>
            <w:r w:rsidR="00FB1935">
              <w:t>FC</w:t>
            </w:r>
            <w:r>
              <w:t xml:space="preserve"> control framework, ensuring continued alignment </w:t>
            </w:r>
            <w:r w:rsidR="008338CB">
              <w:t xml:space="preserve">with </w:t>
            </w:r>
            <w:r w:rsidR="008338CB" w:rsidRPr="004E0FF0">
              <w:t>industry</w:t>
            </w:r>
            <w:r w:rsidR="001E44DE">
              <w:t xml:space="preserve"> standards </w:t>
            </w:r>
            <w:r w:rsidR="00F512D9" w:rsidRPr="004E0FF0">
              <w:t>and regulatory guidelines.</w:t>
            </w:r>
          </w:p>
        </w:tc>
      </w:tr>
      <w:tr w:rsidR="007221CE" w:rsidRPr="004E0FF0" w14:paraId="3779E6EC" w14:textId="77777777" w:rsidTr="004E0FF0">
        <w:trPr>
          <w:trHeight w:val="1500"/>
        </w:trPr>
        <w:tc>
          <w:tcPr>
            <w:tcW w:w="1881" w:type="dxa"/>
            <w:shd w:val="clear" w:color="auto" w:fill="auto"/>
            <w:hideMark/>
          </w:tcPr>
          <w:p w14:paraId="2DD4A9AC" w14:textId="77777777" w:rsidR="007221CE" w:rsidRPr="004E0FF0" w:rsidRDefault="007221CE" w:rsidP="004E0FF0">
            <w:pPr>
              <w:spacing w:after="0" w:line="240" w:lineRule="auto"/>
              <w:rPr>
                <w:b/>
                <w:bCs/>
              </w:rPr>
            </w:pPr>
            <w:r w:rsidRPr="004E0FF0">
              <w:rPr>
                <w:b/>
                <w:bCs/>
              </w:rPr>
              <w:t>Impact, Scale &amp; Influence</w:t>
            </w:r>
          </w:p>
        </w:tc>
        <w:tc>
          <w:tcPr>
            <w:tcW w:w="8327" w:type="dxa"/>
            <w:shd w:val="clear" w:color="auto" w:fill="auto"/>
          </w:tcPr>
          <w:p w14:paraId="527E02A0" w14:textId="77777777" w:rsidR="00F90FE2" w:rsidRDefault="007760A2" w:rsidP="004E0FF0">
            <w:pPr>
              <w:spacing w:after="0" w:line="240" w:lineRule="auto"/>
            </w:pPr>
            <w:r>
              <w:t>You</w:t>
            </w:r>
            <w:r w:rsidR="005B2116" w:rsidRPr="004E0FF0">
              <w:t xml:space="preserve"> will provide </w:t>
            </w:r>
            <w:r w:rsidR="00EC549A" w:rsidRPr="004E0FF0">
              <w:t>technical leadership</w:t>
            </w:r>
            <w:r w:rsidR="001E23C6" w:rsidRPr="004E0FF0">
              <w:t xml:space="preserve"> of complex </w:t>
            </w:r>
            <w:r w:rsidR="00AB3BD0">
              <w:t>MI</w:t>
            </w:r>
            <w:r w:rsidR="001E23C6" w:rsidRPr="004E0FF0">
              <w:t xml:space="preserve"> initiatives</w:t>
            </w:r>
            <w:r w:rsidR="00EC549A" w:rsidRPr="004E0FF0">
              <w:t xml:space="preserve">, working closely with </w:t>
            </w:r>
            <w:r w:rsidR="005B2116" w:rsidRPr="004E0FF0">
              <w:t>IT and Change teams</w:t>
            </w:r>
            <w:r w:rsidR="000547F9" w:rsidRPr="004E0FF0">
              <w:t xml:space="preserve">, including third parties, </w:t>
            </w:r>
            <w:r w:rsidR="005B2116" w:rsidRPr="004E0FF0">
              <w:t>on the industrialisation of solutions</w:t>
            </w:r>
            <w:r w:rsidR="00EC549A" w:rsidRPr="004E0FF0">
              <w:t xml:space="preserve">, where </w:t>
            </w:r>
            <w:r w:rsidR="001E23C6" w:rsidRPr="004E0FF0">
              <w:t>appropriate</w:t>
            </w:r>
            <w:r w:rsidR="00EC549A" w:rsidRPr="004E0FF0">
              <w:t>.</w:t>
            </w:r>
          </w:p>
          <w:p w14:paraId="4D8C3DB7" w14:textId="77777777" w:rsidR="007F6D60" w:rsidRDefault="007F6D60" w:rsidP="004E0FF0">
            <w:pPr>
              <w:spacing w:after="0" w:line="240" w:lineRule="auto"/>
            </w:pPr>
          </w:p>
          <w:p w14:paraId="645CF646" w14:textId="6DA8B44B" w:rsidR="007F6D60" w:rsidRPr="004E0FF0" w:rsidRDefault="007F6D60" w:rsidP="004E0FF0">
            <w:pPr>
              <w:spacing w:after="0" w:line="240" w:lineRule="auto"/>
            </w:pPr>
            <w:r>
              <w:t xml:space="preserve">You will balance FC and MI terminology to ensure that findings and recommendations are clear and understood. </w:t>
            </w:r>
          </w:p>
          <w:p w14:paraId="3ABB1DFB" w14:textId="7C19A0C5" w:rsidR="007221CE" w:rsidRPr="004E0FF0" w:rsidRDefault="007221CE" w:rsidP="004E0FF0">
            <w:pPr>
              <w:spacing w:after="0" w:line="240" w:lineRule="auto"/>
            </w:pPr>
          </w:p>
        </w:tc>
      </w:tr>
      <w:tr w:rsidR="007221CE" w:rsidRPr="004E0FF0" w14:paraId="1D94D4E7" w14:textId="77777777" w:rsidTr="004E0FF0">
        <w:trPr>
          <w:trHeight w:val="70"/>
        </w:trPr>
        <w:tc>
          <w:tcPr>
            <w:tcW w:w="1881" w:type="dxa"/>
            <w:shd w:val="clear" w:color="auto" w:fill="auto"/>
            <w:hideMark/>
          </w:tcPr>
          <w:p w14:paraId="5A9CC32D" w14:textId="77777777" w:rsidR="007221CE" w:rsidRPr="004E0FF0" w:rsidRDefault="007221CE" w:rsidP="004E0FF0">
            <w:pPr>
              <w:spacing w:after="0" w:line="240" w:lineRule="auto"/>
              <w:rPr>
                <w:b/>
                <w:bCs/>
              </w:rPr>
            </w:pPr>
            <w:r w:rsidRPr="004E0FF0">
              <w:rPr>
                <w:b/>
                <w:bCs/>
              </w:rPr>
              <w:t xml:space="preserve">Decision Making / Problem Solving </w:t>
            </w:r>
          </w:p>
        </w:tc>
        <w:tc>
          <w:tcPr>
            <w:tcW w:w="8327" w:type="dxa"/>
            <w:shd w:val="clear" w:color="auto" w:fill="auto"/>
          </w:tcPr>
          <w:p w14:paraId="6836E8FB" w14:textId="7D771D40" w:rsidR="00EC549A" w:rsidRPr="004E0FF0" w:rsidRDefault="007F6D60" w:rsidP="000653B9">
            <w:pPr>
              <w:spacing w:after="0" w:line="240" w:lineRule="auto"/>
            </w:pPr>
            <w:r>
              <w:t xml:space="preserve">You will help drive proactive FC risk management through the work completed. </w:t>
            </w:r>
            <w:r w:rsidR="00C070DA" w:rsidRPr="004E0FF0">
              <w:t xml:space="preserve"> </w:t>
            </w:r>
          </w:p>
        </w:tc>
      </w:tr>
      <w:tr w:rsidR="0019560D" w:rsidRPr="004E0FF0" w14:paraId="4C70BEA8" w14:textId="77777777" w:rsidTr="004E0FF0">
        <w:trPr>
          <w:trHeight w:val="272"/>
        </w:trPr>
        <w:tc>
          <w:tcPr>
            <w:tcW w:w="10208" w:type="dxa"/>
            <w:gridSpan w:val="2"/>
            <w:shd w:val="clear" w:color="auto" w:fill="auto"/>
          </w:tcPr>
          <w:p w14:paraId="71B87516" w14:textId="77777777" w:rsidR="0019560D" w:rsidRPr="004E0FF0" w:rsidRDefault="0019560D" w:rsidP="004E0FF0">
            <w:pPr>
              <w:spacing w:after="0" w:line="240" w:lineRule="auto"/>
            </w:pPr>
          </w:p>
        </w:tc>
      </w:tr>
      <w:tr w:rsidR="0030430B" w:rsidRPr="004E0FF0" w14:paraId="4B98C7D0" w14:textId="77777777" w:rsidTr="004E0FF0">
        <w:trPr>
          <w:trHeight w:val="666"/>
        </w:trPr>
        <w:tc>
          <w:tcPr>
            <w:tcW w:w="1881" w:type="dxa"/>
            <w:shd w:val="clear" w:color="auto" w:fill="auto"/>
          </w:tcPr>
          <w:p w14:paraId="1C4F2201" w14:textId="77777777" w:rsidR="0030430B" w:rsidRPr="004E0FF0" w:rsidRDefault="0030430B" w:rsidP="004E0FF0">
            <w:pPr>
              <w:spacing w:after="0" w:line="240" w:lineRule="auto"/>
              <w:rPr>
                <w:b/>
                <w:bCs/>
              </w:rPr>
            </w:pPr>
            <w:r w:rsidRPr="004E0FF0">
              <w:rPr>
                <w:b/>
                <w:bCs/>
              </w:rPr>
              <w:t>Comparable Roles</w:t>
            </w:r>
          </w:p>
        </w:tc>
        <w:tc>
          <w:tcPr>
            <w:tcW w:w="8327" w:type="dxa"/>
            <w:shd w:val="clear" w:color="auto" w:fill="auto"/>
          </w:tcPr>
          <w:p w14:paraId="22D83437" w14:textId="77777777" w:rsidR="0030430B" w:rsidRDefault="000653B9" w:rsidP="000653B9">
            <w:pPr>
              <w:spacing w:after="0" w:line="240" w:lineRule="auto"/>
            </w:pPr>
            <w:r>
              <w:t>Senior Credit Risk Analyst</w:t>
            </w:r>
          </w:p>
          <w:p w14:paraId="5B57F021" w14:textId="77777777" w:rsidR="000653B9" w:rsidRDefault="000653B9" w:rsidP="000653B9">
            <w:pPr>
              <w:spacing w:after="0" w:line="240" w:lineRule="auto"/>
            </w:pPr>
            <w:r>
              <w:t>Senior Data Analyst</w:t>
            </w:r>
          </w:p>
          <w:p w14:paraId="57A40D22" w14:textId="77777777" w:rsidR="000653B9" w:rsidRPr="004E0FF0" w:rsidRDefault="000653B9" w:rsidP="000653B9">
            <w:pPr>
              <w:spacing w:after="0" w:line="240" w:lineRule="auto"/>
            </w:pPr>
          </w:p>
        </w:tc>
      </w:tr>
    </w:tbl>
    <w:p w14:paraId="3F365712" w14:textId="77777777" w:rsidR="007221CE" w:rsidRDefault="007221CE"/>
    <w:p w14:paraId="22B72595" w14:textId="77777777" w:rsidR="007221CE" w:rsidRDefault="007221CE"/>
    <w:sectPr w:rsidR="007221CE" w:rsidSect="007221CE">
      <w:footerReference w:type="even" r:id="rId9"/>
      <w:footerReference w:type="default" r:id="rId10"/>
      <w:footerReference w:type="first" r:id="rId11"/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24D5E" w14:textId="77777777" w:rsidR="009751DF" w:rsidRDefault="009751DF" w:rsidP="009751DF">
      <w:pPr>
        <w:spacing w:after="0" w:line="240" w:lineRule="auto"/>
      </w:pPr>
      <w:r>
        <w:separator/>
      </w:r>
    </w:p>
  </w:endnote>
  <w:endnote w:type="continuationSeparator" w:id="0">
    <w:p w14:paraId="436C810D" w14:textId="77777777" w:rsidR="009751DF" w:rsidRDefault="009751DF" w:rsidP="00975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B3DE" w14:textId="28FBB944" w:rsidR="009751DF" w:rsidRDefault="009751D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BFF2A09" wp14:editId="593EBF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1670" cy="368935"/>
              <wp:effectExtent l="0" t="0" r="5080" b="0"/>
              <wp:wrapNone/>
              <wp:docPr id="274389079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6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D1271F" w14:textId="3ED6A947" w:rsidR="009751DF" w:rsidRPr="009751DF" w:rsidRDefault="009751DF" w:rsidP="009751D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751D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FF2A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0;margin-top:0;width:52.1pt;height:29.0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" filled="f" stroked="f">
              <v:textbox style="mso-fit-shape-to-text:t" inset="20pt,0,0,15pt">
                <w:txbxContent>
                  <w:p w14:paraId="3CD1271F" w14:textId="3ED6A947" w:rsidR="009751DF" w:rsidRPr="009751DF" w:rsidRDefault="009751DF" w:rsidP="009751D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751D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F19C" w14:textId="536A2E64" w:rsidR="009751DF" w:rsidRDefault="009751D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B829E14" wp14:editId="36548950">
              <wp:simplePos x="9144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661670" cy="368935"/>
              <wp:effectExtent l="0" t="0" r="5080" b="0"/>
              <wp:wrapNone/>
              <wp:docPr id="1906717171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6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EB70E7" w14:textId="7F571BFD" w:rsidR="009751DF" w:rsidRPr="009751DF" w:rsidRDefault="009751DF" w:rsidP="009751D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751D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829E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0;margin-top:0;width:52.1pt;height:29.0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" filled="f" stroked="f">
              <v:textbox style="mso-fit-shape-to-text:t" inset="20pt,0,0,15pt">
                <w:txbxContent>
                  <w:p w14:paraId="4CEB70E7" w14:textId="7F571BFD" w:rsidR="009751DF" w:rsidRPr="009751DF" w:rsidRDefault="009751DF" w:rsidP="009751D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751D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CBE7" w14:textId="584D2C07" w:rsidR="009751DF" w:rsidRDefault="009751D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9EFEDB" wp14:editId="721949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1670" cy="368935"/>
              <wp:effectExtent l="0" t="0" r="5080" b="0"/>
              <wp:wrapNone/>
              <wp:docPr id="491679894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6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314491" w14:textId="26203EED" w:rsidR="009751DF" w:rsidRPr="009751DF" w:rsidRDefault="009751DF" w:rsidP="009751DF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751DF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9EFE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" style="position:absolute;margin-left:0;margin-top:0;width:52.1pt;height:29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" filled="f" stroked="f">
              <v:textbox style="mso-fit-shape-to-text:t" inset="20pt,0,0,15pt">
                <w:txbxContent>
                  <w:p w14:paraId="3D314491" w14:textId="26203EED" w:rsidR="009751DF" w:rsidRPr="009751DF" w:rsidRDefault="009751DF" w:rsidP="009751DF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751DF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7C768" w14:textId="77777777" w:rsidR="009751DF" w:rsidRDefault="009751DF" w:rsidP="009751DF">
      <w:pPr>
        <w:spacing w:after="0" w:line="240" w:lineRule="auto"/>
      </w:pPr>
      <w:r>
        <w:separator/>
      </w:r>
    </w:p>
  </w:footnote>
  <w:footnote w:type="continuationSeparator" w:id="0">
    <w:p w14:paraId="444B5476" w14:textId="77777777" w:rsidR="009751DF" w:rsidRDefault="009751DF" w:rsidP="00975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42419"/>
    <w:multiLevelType w:val="hybridMultilevel"/>
    <w:tmpl w:val="DB386F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5D4790"/>
    <w:multiLevelType w:val="hybridMultilevel"/>
    <w:tmpl w:val="4024FC9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441FA9"/>
    <w:multiLevelType w:val="hybridMultilevel"/>
    <w:tmpl w:val="9F1217D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847EE6"/>
    <w:multiLevelType w:val="hybridMultilevel"/>
    <w:tmpl w:val="04CE9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695677">
    <w:abstractNumId w:val="0"/>
  </w:num>
  <w:num w:numId="2" w16cid:durableId="2068647123">
    <w:abstractNumId w:val="1"/>
  </w:num>
  <w:num w:numId="3" w16cid:durableId="1094741390">
    <w:abstractNumId w:val="2"/>
  </w:num>
  <w:num w:numId="4" w16cid:durableId="1752778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CE"/>
    <w:rsid w:val="00035C54"/>
    <w:rsid w:val="0004454F"/>
    <w:rsid w:val="000547F9"/>
    <w:rsid w:val="00060B4E"/>
    <w:rsid w:val="000653B9"/>
    <w:rsid w:val="0008336A"/>
    <w:rsid w:val="000C6A22"/>
    <w:rsid w:val="00132D0D"/>
    <w:rsid w:val="00146025"/>
    <w:rsid w:val="00166CED"/>
    <w:rsid w:val="00167B98"/>
    <w:rsid w:val="0019131C"/>
    <w:rsid w:val="0019560D"/>
    <w:rsid w:val="001C22E5"/>
    <w:rsid w:val="001E23C6"/>
    <w:rsid w:val="001E44DE"/>
    <w:rsid w:val="001F6AF0"/>
    <w:rsid w:val="00251666"/>
    <w:rsid w:val="00251B89"/>
    <w:rsid w:val="002527A6"/>
    <w:rsid w:val="002A089C"/>
    <w:rsid w:val="002A0E2A"/>
    <w:rsid w:val="002D084D"/>
    <w:rsid w:val="002E0385"/>
    <w:rsid w:val="002E3606"/>
    <w:rsid w:val="002F3AE4"/>
    <w:rsid w:val="0030430B"/>
    <w:rsid w:val="00365EB1"/>
    <w:rsid w:val="00394ABC"/>
    <w:rsid w:val="00461FAA"/>
    <w:rsid w:val="00475190"/>
    <w:rsid w:val="004805DD"/>
    <w:rsid w:val="004D0FCD"/>
    <w:rsid w:val="004D5F2E"/>
    <w:rsid w:val="004E0FF0"/>
    <w:rsid w:val="00501CFF"/>
    <w:rsid w:val="005640A3"/>
    <w:rsid w:val="00576D65"/>
    <w:rsid w:val="0058756A"/>
    <w:rsid w:val="005B2116"/>
    <w:rsid w:val="005B5E69"/>
    <w:rsid w:val="005E786F"/>
    <w:rsid w:val="00624572"/>
    <w:rsid w:val="00655A99"/>
    <w:rsid w:val="00673590"/>
    <w:rsid w:val="00675A7A"/>
    <w:rsid w:val="00684FC2"/>
    <w:rsid w:val="006A5962"/>
    <w:rsid w:val="006D09CD"/>
    <w:rsid w:val="00720FBD"/>
    <w:rsid w:val="007221CE"/>
    <w:rsid w:val="007760A2"/>
    <w:rsid w:val="00791D35"/>
    <w:rsid w:val="007C2BE1"/>
    <w:rsid w:val="007C3153"/>
    <w:rsid w:val="007F6D60"/>
    <w:rsid w:val="008338CB"/>
    <w:rsid w:val="00884181"/>
    <w:rsid w:val="0088502B"/>
    <w:rsid w:val="00886A8B"/>
    <w:rsid w:val="008A6BE4"/>
    <w:rsid w:val="008B6FD3"/>
    <w:rsid w:val="00910291"/>
    <w:rsid w:val="00951136"/>
    <w:rsid w:val="00973497"/>
    <w:rsid w:val="009751DF"/>
    <w:rsid w:val="0098488A"/>
    <w:rsid w:val="009A1D99"/>
    <w:rsid w:val="009A609E"/>
    <w:rsid w:val="009C7D83"/>
    <w:rsid w:val="009E382C"/>
    <w:rsid w:val="009F16CF"/>
    <w:rsid w:val="00A5112F"/>
    <w:rsid w:val="00A86A1B"/>
    <w:rsid w:val="00A948AF"/>
    <w:rsid w:val="00AB3BD0"/>
    <w:rsid w:val="00AD09A9"/>
    <w:rsid w:val="00AE68AB"/>
    <w:rsid w:val="00B26532"/>
    <w:rsid w:val="00B27782"/>
    <w:rsid w:val="00B31353"/>
    <w:rsid w:val="00B8228F"/>
    <w:rsid w:val="00B92BA9"/>
    <w:rsid w:val="00C070DA"/>
    <w:rsid w:val="00C46AFB"/>
    <w:rsid w:val="00CA7D79"/>
    <w:rsid w:val="00D23818"/>
    <w:rsid w:val="00D530D1"/>
    <w:rsid w:val="00D72D9C"/>
    <w:rsid w:val="00D778C5"/>
    <w:rsid w:val="00DD24D8"/>
    <w:rsid w:val="00DD7CDA"/>
    <w:rsid w:val="00E0033E"/>
    <w:rsid w:val="00E04CA5"/>
    <w:rsid w:val="00E57B2E"/>
    <w:rsid w:val="00E7665A"/>
    <w:rsid w:val="00E77C65"/>
    <w:rsid w:val="00EA6436"/>
    <w:rsid w:val="00EC549A"/>
    <w:rsid w:val="00EE26E2"/>
    <w:rsid w:val="00F512D9"/>
    <w:rsid w:val="00F55C37"/>
    <w:rsid w:val="00F90FE2"/>
    <w:rsid w:val="00FA7976"/>
    <w:rsid w:val="00FB1935"/>
    <w:rsid w:val="00FD2140"/>
    <w:rsid w:val="00FE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A27A9"/>
  <w15:chartTrackingRefBased/>
  <w15:docId w15:val="{D982A5F9-868A-498A-95C4-AE43C2FF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2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2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21CE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A0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8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A08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89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A089C"/>
    <w:rPr>
      <w:b/>
      <w:bCs/>
      <w:sz w:val="20"/>
      <w:szCs w:val="20"/>
    </w:rPr>
  </w:style>
  <w:style w:type="character" w:styleId="PlaceholderText">
    <w:name w:val="Placeholder Text"/>
    <w:uiPriority w:val="99"/>
    <w:semiHidden/>
    <w:rsid w:val="006D09CD"/>
    <w:rPr>
      <w:color w:val="808080"/>
    </w:rPr>
  </w:style>
  <w:style w:type="paragraph" w:styleId="NormalWeb">
    <w:name w:val="Normal (Web)"/>
    <w:basedOn w:val="Normal"/>
    <w:uiPriority w:val="99"/>
    <w:rsid w:val="00A86A1B"/>
    <w:pPr>
      <w:spacing w:after="0" w:line="240" w:lineRule="auto"/>
    </w:pPr>
    <w:rPr>
      <w:rFonts w:ascii="Arial" w:eastAsia="Arial Unicode MS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A86A1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75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1DF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D2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214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24E7F-FDFA-4014-917A-3E3C8BE3235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3eb60-780d-4dff-be4c-06f9751d5669}" enabled="1" method="Standard" siteId="{052de758-c1bf-42df-b1ad-f5078c261e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4446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Building Society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Nic</dc:creator>
  <cp:keywords/>
  <cp:lastModifiedBy>Young,Stacey</cp:lastModifiedBy>
  <cp:revision>2</cp:revision>
  <dcterms:created xsi:type="dcterms:W3CDTF">2025-12-02T12:29:00Z</dcterms:created>
  <dcterms:modified xsi:type="dcterms:W3CDTF">2025-12-02T12:29:00Z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1d4e7096,105ad857,71a631f3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General</vt:lpwstr>
  </property>
</Properties>
</file>