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82" w:type="pct"/>
        <w:tblInd w:w="-431" w:type="dxa"/>
        <w:tblLayout w:type="fixed"/>
        <w:tblLook w:val="04A0" w:firstRow="1" w:lastRow="0" w:firstColumn="1" w:lastColumn="0" w:noHBand="0" w:noVBand="1"/>
      </w:tblPr>
      <w:tblGrid>
        <w:gridCol w:w="1702"/>
        <w:gridCol w:w="849"/>
        <w:gridCol w:w="566"/>
        <w:gridCol w:w="133"/>
        <w:gridCol w:w="866"/>
        <w:gridCol w:w="701"/>
        <w:gridCol w:w="2132"/>
        <w:gridCol w:w="3116"/>
      </w:tblGrid>
      <w:tr w:rsidR="002527A6" w14:paraId="27490D89" w14:textId="77777777" w:rsidTr="00800569">
        <w:trPr>
          <w:trHeight w:val="480"/>
        </w:trPr>
        <w:tc>
          <w:tcPr>
            <w:tcW w:w="1549"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451"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800569">
        <w:trPr>
          <w:trHeight w:val="558"/>
        </w:trPr>
        <w:tc>
          <w:tcPr>
            <w:tcW w:w="1549" w:type="pct"/>
            <w:gridSpan w:val="3"/>
            <w:vMerge/>
          </w:tcPr>
          <w:p w14:paraId="389912BE" w14:textId="77777777" w:rsidR="007221CE" w:rsidRDefault="007221CE"/>
        </w:tc>
        <w:tc>
          <w:tcPr>
            <w:tcW w:w="3451" w:type="pct"/>
            <w:gridSpan w:val="5"/>
            <w:vAlign w:val="center"/>
          </w:tcPr>
          <w:p w14:paraId="6370D1EC" w14:textId="2A0326B0" w:rsidR="007221CE" w:rsidRPr="007221CE" w:rsidRDefault="00526E93" w:rsidP="007221CE">
            <w:pPr>
              <w:jc w:val="center"/>
              <w:rPr>
                <w:sz w:val="28"/>
                <w:szCs w:val="28"/>
              </w:rPr>
            </w:pPr>
            <w:r>
              <w:rPr>
                <w:sz w:val="28"/>
                <w:szCs w:val="28"/>
              </w:rPr>
              <w:t>Senior People Advisor</w:t>
            </w:r>
          </w:p>
        </w:tc>
      </w:tr>
      <w:tr w:rsidR="00365EB1" w:rsidRPr="007221CE" w14:paraId="32BD9632" w14:textId="77777777" w:rsidTr="00800569">
        <w:trPr>
          <w:trHeight w:val="288"/>
        </w:trPr>
        <w:tc>
          <w:tcPr>
            <w:tcW w:w="846" w:type="pct"/>
            <w:noWrap/>
            <w:hideMark/>
          </w:tcPr>
          <w:p w14:paraId="723BBB5B" w14:textId="77777777" w:rsidR="00394ABC" w:rsidRPr="00394ABC" w:rsidRDefault="007221CE" w:rsidP="00302E25">
            <w:pPr>
              <w:rPr>
                <w:b/>
              </w:rPr>
            </w:pPr>
            <w:r w:rsidRPr="00394ABC">
              <w:rPr>
                <w:b/>
              </w:rPr>
              <w:t>Reports to:</w:t>
            </w:r>
          </w:p>
        </w:tc>
        <w:tc>
          <w:tcPr>
            <w:tcW w:w="4154" w:type="pct"/>
            <w:gridSpan w:val="7"/>
            <w:noWrap/>
            <w:hideMark/>
          </w:tcPr>
          <w:p w14:paraId="788F7662" w14:textId="1D3FC6A8" w:rsidR="007221CE" w:rsidRPr="007221CE" w:rsidRDefault="00ED04B4">
            <w:r>
              <w:t>Lead People Partner</w:t>
            </w:r>
          </w:p>
        </w:tc>
      </w:tr>
      <w:tr w:rsidR="002527A6" w:rsidRPr="007221CE" w14:paraId="6E5DA19A" w14:textId="77777777" w:rsidTr="00800569">
        <w:trPr>
          <w:trHeight w:val="288"/>
        </w:trPr>
        <w:tc>
          <w:tcPr>
            <w:tcW w:w="846" w:type="pct"/>
            <w:noWrap/>
            <w:hideMark/>
          </w:tcPr>
          <w:p w14:paraId="2E37DB1A"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47" w:type="pct"/>
                <w:gridSpan w:val="5"/>
                <w:noWrap/>
                <w:hideMark/>
              </w:tcPr>
              <w:p w14:paraId="2FDD2D3E" w14:textId="039A4088" w:rsidR="007221CE" w:rsidRPr="007221CE" w:rsidRDefault="00ED04B4" w:rsidP="007221CE">
                <w:r>
                  <w:t>Senior Professional / Technical</w:t>
                </w:r>
              </w:p>
            </w:tc>
          </w:sdtContent>
        </w:sdt>
        <w:tc>
          <w:tcPr>
            <w:tcW w:w="1059" w:type="pct"/>
            <w:noWrap/>
            <w:hideMark/>
          </w:tcPr>
          <w:p w14:paraId="531D713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49" w:type="pct"/>
                <w:noWrap/>
                <w:hideMark/>
              </w:tcPr>
              <w:p w14:paraId="2B8D7F69" w14:textId="52EF0623" w:rsidR="007221CE" w:rsidRPr="007221CE" w:rsidRDefault="00ED04B4">
                <w:r>
                  <w:t>Human Resources</w:t>
                </w:r>
              </w:p>
            </w:tc>
          </w:sdtContent>
        </w:sdt>
      </w:tr>
      <w:tr w:rsidR="002527A6" w:rsidRPr="007221CE" w14:paraId="7530E463" w14:textId="77777777" w:rsidTr="00800569">
        <w:trPr>
          <w:trHeight w:val="288"/>
        </w:trPr>
        <w:tc>
          <w:tcPr>
            <w:tcW w:w="846" w:type="pct"/>
            <w:noWrap/>
            <w:hideMark/>
          </w:tcPr>
          <w:p w14:paraId="190D9592" w14:textId="77777777" w:rsidR="00394ABC" w:rsidRPr="007221CE" w:rsidRDefault="00394ABC">
            <w:r>
              <w:rPr>
                <w:b/>
                <w:bCs/>
              </w:rPr>
              <w:t xml:space="preserve">Leadership </w:t>
            </w:r>
            <w:r w:rsidRPr="007221CE">
              <w:rPr>
                <w:b/>
                <w:bCs/>
              </w:rPr>
              <w:t>Responsibility:</w:t>
            </w:r>
          </w:p>
        </w:tc>
        <w:tc>
          <w:tcPr>
            <w:tcW w:w="422" w:type="pct"/>
            <w:noWrap/>
            <w:hideMark/>
          </w:tcPr>
          <w:p w14:paraId="392FC8FF"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347" w:type="pct"/>
            <w:gridSpan w:val="2"/>
            <w:noWrap/>
            <w:hideMark/>
          </w:tcPr>
          <w:p w14:paraId="793EB8FF" w14:textId="1D583792" w:rsidR="00394ABC" w:rsidRPr="00687ECE" w:rsidRDefault="00DE63ED">
            <w:r>
              <w:t>0</w:t>
            </w:r>
          </w:p>
        </w:tc>
        <w:tc>
          <w:tcPr>
            <w:tcW w:w="430" w:type="pct"/>
            <w:noWrap/>
            <w:hideMark/>
          </w:tcPr>
          <w:p w14:paraId="764C1115" w14:textId="77777777" w:rsidR="00394ABC" w:rsidRPr="007221CE" w:rsidRDefault="006D09CD" w:rsidP="006D09CD">
            <w:r w:rsidRPr="006D09CD">
              <w:rPr>
                <w:sz w:val="18"/>
                <w:szCs w:val="18"/>
              </w:rPr>
              <w:t>Indirect Reports:</w:t>
            </w:r>
          </w:p>
        </w:tc>
        <w:tc>
          <w:tcPr>
            <w:tcW w:w="347" w:type="pct"/>
            <w:noWrap/>
          </w:tcPr>
          <w:p w14:paraId="5F385BF9" w14:textId="5C589F53" w:rsidR="00394ABC" w:rsidRPr="007221CE" w:rsidRDefault="00DE63ED" w:rsidP="00E0033E">
            <w:r>
              <w:t>0</w:t>
            </w:r>
          </w:p>
        </w:tc>
        <w:tc>
          <w:tcPr>
            <w:tcW w:w="1059" w:type="pct"/>
            <w:noWrap/>
          </w:tcPr>
          <w:p w14:paraId="102D375A"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49" w:type="pct"/>
                <w:noWrap/>
              </w:tcPr>
              <w:p w14:paraId="31B12DA5" w14:textId="30C2F739" w:rsidR="00394ABC" w:rsidRPr="007221CE" w:rsidRDefault="00ED04B4" w:rsidP="00E273DA">
                <w:r>
                  <w:t>Not Applicable</w:t>
                </w:r>
              </w:p>
            </w:tc>
          </w:sdtContent>
        </w:sdt>
      </w:tr>
      <w:tr w:rsidR="00687ECE" w:rsidRPr="007221CE" w14:paraId="499BCF16" w14:textId="77777777" w:rsidTr="00800569">
        <w:trPr>
          <w:trHeight w:val="288"/>
        </w:trPr>
        <w:tc>
          <w:tcPr>
            <w:tcW w:w="846" w:type="pct"/>
            <w:noWrap/>
            <w:hideMark/>
          </w:tcPr>
          <w:p w14:paraId="6FB694CF" w14:textId="77777777" w:rsidR="00687ECE" w:rsidRPr="00394ABC" w:rsidRDefault="00687ECE">
            <w:pPr>
              <w:rPr>
                <w:b/>
              </w:rPr>
            </w:pPr>
            <w:r w:rsidRPr="00394ABC">
              <w:rPr>
                <w:b/>
              </w:rPr>
              <w:t>Location:</w:t>
            </w:r>
          </w:p>
        </w:tc>
        <w:tc>
          <w:tcPr>
            <w:tcW w:w="1547" w:type="pct"/>
            <w:gridSpan w:val="5"/>
            <w:noWrap/>
          </w:tcPr>
          <w:p w14:paraId="7098C49C" w14:textId="791C751E" w:rsidR="00687ECE" w:rsidRPr="007221CE" w:rsidRDefault="00687ECE">
            <w:r w:rsidRPr="00687ECE">
              <w:rPr>
                <w:sz w:val="20"/>
                <w:szCs w:val="20"/>
              </w:rPr>
              <w:t>Binley, Coventry. Team-led hybrid working arrangements apply.</w:t>
            </w:r>
          </w:p>
        </w:tc>
        <w:tc>
          <w:tcPr>
            <w:tcW w:w="1059" w:type="pct"/>
          </w:tcPr>
          <w:p w14:paraId="055005F4" w14:textId="1F65EA7D" w:rsidR="00687ECE" w:rsidRPr="007221CE" w:rsidRDefault="00687ECE">
            <w:r w:rsidRPr="00687ECE">
              <w:rPr>
                <w:b/>
              </w:rPr>
              <w:t>Working hours:</w:t>
            </w:r>
          </w:p>
        </w:tc>
        <w:tc>
          <w:tcPr>
            <w:tcW w:w="1549" w:type="pct"/>
          </w:tcPr>
          <w:p w14:paraId="2FBB904E" w14:textId="556CB993" w:rsidR="00687ECE" w:rsidRPr="007221CE" w:rsidRDefault="005D4F02">
            <w:r>
              <w:t>35 hours worked flexibly over 5 days, Mon to Fri</w:t>
            </w:r>
          </w:p>
        </w:tc>
      </w:tr>
      <w:tr w:rsidR="00687ECE" w:rsidRPr="007221CE" w14:paraId="02D7BEDB" w14:textId="77777777" w:rsidTr="00800569">
        <w:trPr>
          <w:trHeight w:val="288"/>
        </w:trPr>
        <w:tc>
          <w:tcPr>
            <w:tcW w:w="846" w:type="pct"/>
            <w:noWrap/>
          </w:tcPr>
          <w:p w14:paraId="6CD73AC5" w14:textId="1B04A1A6" w:rsidR="00687ECE" w:rsidRPr="00394ABC" w:rsidRDefault="00687ECE">
            <w:pPr>
              <w:rPr>
                <w:b/>
              </w:rPr>
            </w:pPr>
            <w:r>
              <w:rPr>
                <w:b/>
              </w:rPr>
              <w:t>Effective Date:</w:t>
            </w:r>
          </w:p>
        </w:tc>
        <w:tc>
          <w:tcPr>
            <w:tcW w:w="1547" w:type="pct"/>
            <w:gridSpan w:val="5"/>
            <w:noWrap/>
          </w:tcPr>
          <w:p w14:paraId="17F687A9" w14:textId="1639D700" w:rsidR="00687ECE" w:rsidRPr="00687ECE" w:rsidRDefault="00687ECE">
            <w:pPr>
              <w:rPr>
                <w:sz w:val="20"/>
                <w:szCs w:val="20"/>
              </w:rPr>
            </w:pPr>
          </w:p>
        </w:tc>
        <w:tc>
          <w:tcPr>
            <w:tcW w:w="1059" w:type="pct"/>
          </w:tcPr>
          <w:p w14:paraId="67BF2E0B" w14:textId="6241C057" w:rsidR="00687ECE" w:rsidRPr="00687ECE" w:rsidRDefault="00687ECE">
            <w:pPr>
              <w:rPr>
                <w:b/>
              </w:rPr>
            </w:pPr>
            <w:r>
              <w:rPr>
                <w:b/>
              </w:rPr>
              <w:t>WD Job Code:</w:t>
            </w:r>
          </w:p>
        </w:tc>
        <w:tc>
          <w:tcPr>
            <w:tcW w:w="1549" w:type="pct"/>
          </w:tcPr>
          <w:p w14:paraId="2C56390F" w14:textId="0D51CD33" w:rsidR="00687ECE" w:rsidRPr="007221CE" w:rsidRDefault="00687ECE"/>
        </w:tc>
      </w:tr>
      <w:tr w:rsidR="007221CE" w:rsidRPr="007221CE" w14:paraId="1923DB64" w14:textId="77777777" w:rsidTr="00800569">
        <w:trPr>
          <w:trHeight w:val="288"/>
        </w:trPr>
        <w:tc>
          <w:tcPr>
            <w:tcW w:w="5000" w:type="pct"/>
            <w:gridSpan w:val="8"/>
            <w:shd w:val="clear" w:color="auto" w:fill="8DB3E2" w:themeFill="text2" w:themeFillTint="66"/>
            <w:noWrap/>
            <w:hideMark/>
          </w:tcPr>
          <w:p w14:paraId="79645528" w14:textId="77777777" w:rsidR="007221CE" w:rsidRPr="007221CE" w:rsidRDefault="007221CE">
            <w:r w:rsidRPr="007221CE">
              <w:rPr>
                <w:b/>
                <w:bCs/>
              </w:rPr>
              <w:t>ABOUT THE ROLE</w:t>
            </w:r>
            <w:r w:rsidRPr="007221CE">
              <w:t xml:space="preserve"> </w:t>
            </w:r>
          </w:p>
        </w:tc>
      </w:tr>
      <w:tr w:rsidR="007221CE" w:rsidRPr="007221CE" w14:paraId="2C7FE5B2" w14:textId="77777777" w:rsidTr="00800569">
        <w:trPr>
          <w:trHeight w:val="3830"/>
        </w:trPr>
        <w:tc>
          <w:tcPr>
            <w:tcW w:w="5000" w:type="pct"/>
            <w:gridSpan w:val="8"/>
            <w:hideMark/>
          </w:tcPr>
          <w:p w14:paraId="0597907E" w14:textId="51726CF4" w:rsidR="00484E3F" w:rsidRDefault="00484E3F" w:rsidP="00484E3F">
            <w:r>
              <w:t xml:space="preserve">As one of the largest Building Societies in the UK and a top 10 lender, we know a thing or two about Savings and Mortgages. The Society has grown significantly over the past decade in particular and now has over 3000 employees and 1.8 million members. The Society is a Which recommended savings provider and we’re proud to be a certified Great Place to Work. </w:t>
            </w:r>
          </w:p>
          <w:p w14:paraId="228EDAC3" w14:textId="77777777" w:rsidR="00484E3F" w:rsidRPr="00442763" w:rsidRDefault="00484E3F" w:rsidP="00484E3F">
            <w:pPr>
              <w:pStyle w:val="NormalWeb"/>
              <w:rPr>
                <w:rFonts w:asciiTheme="minorHAnsi" w:hAnsiTheme="minorHAnsi"/>
                <w:sz w:val="22"/>
                <w:szCs w:val="22"/>
              </w:rPr>
            </w:pPr>
            <w:r w:rsidRPr="00442763">
              <w:rPr>
                <w:rFonts w:asciiTheme="minorHAnsi" w:hAnsiTheme="minorHAnsi"/>
                <w:sz w:val="22"/>
                <w:szCs w:val="22"/>
              </w:rPr>
              <w:t>This role is a great opportunity for a</w:t>
            </w:r>
            <w:r>
              <w:rPr>
                <w:rFonts w:asciiTheme="minorHAnsi" w:hAnsiTheme="minorHAnsi"/>
                <w:sz w:val="22"/>
                <w:szCs w:val="22"/>
              </w:rPr>
              <w:t>n experienced and</w:t>
            </w:r>
            <w:r w:rsidRPr="00442763">
              <w:rPr>
                <w:rFonts w:asciiTheme="minorHAnsi" w:hAnsiTheme="minorHAnsi"/>
                <w:sz w:val="22"/>
                <w:szCs w:val="22"/>
              </w:rPr>
              <w:t xml:space="preserve"> collaborative HR professional </w:t>
            </w:r>
            <w:r>
              <w:rPr>
                <w:rFonts w:asciiTheme="minorHAnsi" w:hAnsiTheme="minorHAnsi"/>
                <w:sz w:val="22"/>
                <w:szCs w:val="22"/>
              </w:rPr>
              <w:t>to w</w:t>
            </w:r>
            <w:r w:rsidRPr="00496FF9">
              <w:rPr>
                <w:rFonts w:asciiTheme="minorHAnsi" w:hAnsiTheme="minorHAnsi"/>
                <w:sz w:val="22"/>
                <w:szCs w:val="22"/>
              </w:rPr>
              <w:t>ork proactively</w:t>
            </w:r>
            <w:r>
              <w:rPr>
                <w:rFonts w:asciiTheme="minorHAnsi" w:hAnsiTheme="minorHAnsi"/>
                <w:sz w:val="22"/>
                <w:szCs w:val="22"/>
              </w:rPr>
              <w:t xml:space="preserve"> </w:t>
            </w:r>
            <w:r w:rsidRPr="00496FF9">
              <w:rPr>
                <w:rFonts w:asciiTheme="minorHAnsi" w:hAnsiTheme="minorHAnsi"/>
                <w:sz w:val="22"/>
                <w:szCs w:val="22"/>
              </w:rPr>
              <w:t xml:space="preserve">with </w:t>
            </w:r>
            <w:r>
              <w:rPr>
                <w:rFonts w:asciiTheme="minorHAnsi" w:hAnsiTheme="minorHAnsi"/>
                <w:sz w:val="22"/>
                <w:szCs w:val="22"/>
              </w:rPr>
              <w:t xml:space="preserve">our leaders </w:t>
            </w:r>
            <w:r w:rsidRPr="00496FF9">
              <w:rPr>
                <w:rFonts w:asciiTheme="minorHAnsi" w:hAnsiTheme="minorHAnsi"/>
                <w:sz w:val="22"/>
                <w:szCs w:val="22"/>
              </w:rPr>
              <w:t xml:space="preserve">to </w:t>
            </w:r>
            <w:r>
              <w:rPr>
                <w:rFonts w:asciiTheme="minorHAnsi" w:hAnsiTheme="minorHAnsi"/>
                <w:sz w:val="22"/>
                <w:szCs w:val="22"/>
              </w:rPr>
              <w:t xml:space="preserve">continually </w:t>
            </w:r>
            <w:r w:rsidRPr="00496FF9">
              <w:rPr>
                <w:rFonts w:asciiTheme="minorHAnsi" w:hAnsiTheme="minorHAnsi"/>
                <w:sz w:val="22"/>
                <w:szCs w:val="22"/>
              </w:rPr>
              <w:t xml:space="preserve">improve employee engagement and performance.  </w:t>
            </w:r>
            <w:r>
              <w:rPr>
                <w:rFonts w:asciiTheme="minorHAnsi" w:hAnsiTheme="minorHAnsi"/>
                <w:sz w:val="22"/>
                <w:szCs w:val="22"/>
              </w:rPr>
              <w:t>You will be a strong influencer and trusted advisor to leaders across the business.</w:t>
            </w:r>
          </w:p>
          <w:p w14:paraId="5D6B2C07" w14:textId="77777777" w:rsidR="00484E3F" w:rsidRDefault="00484E3F" w:rsidP="00484E3F">
            <w:pPr>
              <w:rPr>
                <w:lang w:val="en"/>
              </w:rPr>
            </w:pPr>
            <w:r>
              <w:rPr>
                <w:lang w:val="en"/>
              </w:rPr>
              <w:t xml:space="preserve">Working with the business to improve leadership </w:t>
            </w:r>
            <w:r w:rsidRPr="00F62945">
              <w:rPr>
                <w:lang w:val="en"/>
              </w:rPr>
              <w:t xml:space="preserve">and management </w:t>
            </w:r>
            <w:r>
              <w:rPr>
                <w:lang w:val="en"/>
              </w:rPr>
              <w:t xml:space="preserve">capability, you will guide, coach and challenge leaders, on best practice HR and have brilliant conversations. As a champion of our people vision – “the way work should be”, the role will work closely with the wider People team to ensure that the people aspects of the Society’s strategy are planned and delivered to an exceptional level. </w:t>
            </w:r>
          </w:p>
          <w:p w14:paraId="7384E36E" w14:textId="77777777" w:rsidR="00484E3F" w:rsidRPr="00442763" w:rsidRDefault="00484E3F" w:rsidP="00484E3F">
            <w:pPr>
              <w:pStyle w:val="NormalWeb"/>
              <w:rPr>
                <w:rFonts w:asciiTheme="minorHAnsi" w:hAnsiTheme="minorHAnsi"/>
                <w:sz w:val="22"/>
                <w:szCs w:val="22"/>
              </w:rPr>
            </w:pPr>
            <w:r>
              <w:rPr>
                <w:rFonts w:asciiTheme="minorHAnsi" w:hAnsiTheme="minorHAnsi"/>
                <w:sz w:val="22"/>
                <w:szCs w:val="22"/>
              </w:rPr>
              <w:t>The</w:t>
            </w:r>
            <w:r w:rsidRPr="00442763">
              <w:rPr>
                <w:rFonts w:asciiTheme="minorHAnsi" w:hAnsiTheme="minorHAnsi"/>
                <w:sz w:val="22"/>
                <w:szCs w:val="22"/>
              </w:rPr>
              <w:t xml:space="preserve"> </w:t>
            </w:r>
            <w:r>
              <w:rPr>
                <w:rFonts w:asciiTheme="minorHAnsi" w:hAnsiTheme="minorHAnsi"/>
                <w:sz w:val="22"/>
                <w:szCs w:val="22"/>
              </w:rPr>
              <w:t>Senior People Advisor role</w:t>
            </w:r>
            <w:r w:rsidRPr="00442763">
              <w:rPr>
                <w:rFonts w:asciiTheme="minorHAnsi" w:hAnsiTheme="minorHAnsi"/>
                <w:sz w:val="22"/>
                <w:szCs w:val="22"/>
              </w:rPr>
              <w:t xml:space="preserve"> works closely with the </w:t>
            </w:r>
            <w:r>
              <w:rPr>
                <w:rFonts w:asciiTheme="minorHAnsi" w:hAnsiTheme="minorHAnsi"/>
                <w:sz w:val="22"/>
                <w:szCs w:val="22"/>
              </w:rPr>
              <w:t xml:space="preserve">People Partners and other People Advisors </w:t>
            </w:r>
            <w:r w:rsidRPr="00442763">
              <w:rPr>
                <w:rFonts w:asciiTheme="minorHAnsi" w:hAnsiTheme="minorHAnsi"/>
                <w:sz w:val="22"/>
                <w:szCs w:val="22"/>
              </w:rPr>
              <w:t xml:space="preserve">supporting a varied client base to provide </w:t>
            </w:r>
            <w:r>
              <w:rPr>
                <w:rFonts w:asciiTheme="minorHAnsi" w:hAnsiTheme="minorHAnsi"/>
                <w:sz w:val="22"/>
                <w:szCs w:val="22"/>
              </w:rPr>
              <w:t xml:space="preserve">the full spectrum </w:t>
            </w:r>
            <w:r w:rsidRPr="00F62945">
              <w:rPr>
                <w:rFonts w:asciiTheme="minorHAnsi" w:hAnsiTheme="minorHAnsi"/>
                <w:sz w:val="22"/>
                <w:szCs w:val="22"/>
              </w:rPr>
              <w:t xml:space="preserve">of HR advice </w:t>
            </w:r>
            <w:r w:rsidRPr="00442763">
              <w:rPr>
                <w:rFonts w:asciiTheme="minorHAnsi" w:hAnsiTheme="minorHAnsi"/>
                <w:sz w:val="22"/>
                <w:szCs w:val="22"/>
              </w:rPr>
              <w:t>and support, across all business areas</w:t>
            </w:r>
            <w:r>
              <w:rPr>
                <w:rFonts w:asciiTheme="minorHAnsi" w:hAnsiTheme="minorHAnsi"/>
                <w:sz w:val="22"/>
                <w:szCs w:val="22"/>
              </w:rPr>
              <w:t>. You will have a focus on managing the Employee Relations, Talent and Engagement agenda as well as supporting the management of the Trade Union relationship and building partnering relationships with managers and leaders across allocated business areas.</w:t>
            </w:r>
          </w:p>
          <w:p w14:paraId="4C15D976" w14:textId="77777777" w:rsidR="00484E3F" w:rsidRDefault="00484E3F" w:rsidP="00484E3F">
            <w:pPr>
              <w:spacing w:before="100" w:beforeAutospacing="1" w:after="100" w:afterAutospacing="1"/>
              <w:rPr>
                <w:lang w:val="en-US"/>
              </w:rPr>
            </w:pPr>
            <w:r>
              <w:rPr>
                <w:lang w:val="en-US"/>
              </w:rPr>
              <w:t>You will be a catalyst for change and responsible for People initiatives and projects from inception through to delivery. You will track and monitor progress of initiatives and ensure projects are delivered to time, budget and aligned to our values.</w:t>
            </w:r>
          </w:p>
          <w:p w14:paraId="0FA4488C" w14:textId="3BE2D07F" w:rsidR="007221CE" w:rsidRPr="007221CE" w:rsidRDefault="007221CE" w:rsidP="00967691"/>
        </w:tc>
      </w:tr>
      <w:tr w:rsidR="007221CE" w:rsidRPr="007221CE" w14:paraId="0DFE1FFD" w14:textId="77777777" w:rsidTr="00800569">
        <w:trPr>
          <w:trHeight w:val="288"/>
        </w:trPr>
        <w:tc>
          <w:tcPr>
            <w:tcW w:w="5000" w:type="pct"/>
            <w:gridSpan w:val="8"/>
            <w:shd w:val="clear" w:color="auto" w:fill="8DB3E2" w:themeFill="text2" w:themeFillTint="66"/>
            <w:noWrap/>
            <w:hideMark/>
          </w:tcPr>
          <w:p w14:paraId="419BB867" w14:textId="77777777" w:rsidR="007221CE" w:rsidRPr="007221CE" w:rsidRDefault="007221CE">
            <w:r w:rsidRPr="007221CE">
              <w:rPr>
                <w:b/>
                <w:bCs/>
              </w:rPr>
              <w:t>ABOUT YOU</w:t>
            </w:r>
            <w:r w:rsidRPr="007221CE">
              <w:t xml:space="preserve"> </w:t>
            </w:r>
          </w:p>
        </w:tc>
      </w:tr>
      <w:tr w:rsidR="007221CE" w:rsidRPr="007221CE" w14:paraId="387B5B8E" w14:textId="77777777" w:rsidTr="00216AA4">
        <w:trPr>
          <w:trHeight w:val="3022"/>
        </w:trPr>
        <w:tc>
          <w:tcPr>
            <w:tcW w:w="5000" w:type="pct"/>
            <w:gridSpan w:val="8"/>
            <w:hideMark/>
          </w:tcPr>
          <w:p w14:paraId="039D1FDA" w14:textId="77777777" w:rsidR="00CD4DBB" w:rsidRPr="00EB537C" w:rsidRDefault="00CD4DBB" w:rsidP="00CD4DBB">
            <w:pPr>
              <w:spacing w:before="100" w:beforeAutospacing="1" w:after="100" w:afterAutospacing="1"/>
              <w:rPr>
                <w:rFonts w:eastAsia="Times New Roman" w:cs="Times New Roman"/>
                <w:lang w:val="en" w:eastAsia="en-GB"/>
              </w:rPr>
            </w:pPr>
            <w:r>
              <w:rPr>
                <w:rFonts w:eastAsia="Times New Roman" w:cs="Times New Roman"/>
                <w:lang w:val="en" w:eastAsia="en-GB"/>
              </w:rPr>
              <w:t xml:space="preserve">You will be a natural and engaging communicator who will look to engage, develop and maintain key relationships with stakeholders. Demonstrating commerciality and a good knowledge of key trends in the world of HR you will assert yourself with confidence and challenge senior leaders. </w:t>
            </w:r>
          </w:p>
          <w:p w14:paraId="3DDBB1A2" w14:textId="77777777" w:rsidR="00CD4DBB" w:rsidRPr="00160991" w:rsidRDefault="00CD4DBB" w:rsidP="00CD4DBB">
            <w:r w:rsidRPr="00160991">
              <w:t xml:space="preserve">With </w:t>
            </w:r>
            <w:r>
              <w:t xml:space="preserve">significant </w:t>
            </w:r>
            <w:r w:rsidRPr="00160991">
              <w:t>employee relations and generalist experience,</w:t>
            </w:r>
            <w:r>
              <w:t xml:space="preserve"> </w:t>
            </w:r>
            <w:r w:rsidRPr="00160991">
              <w:t xml:space="preserve">you will </w:t>
            </w:r>
            <w:r>
              <w:t xml:space="preserve">be </w:t>
            </w:r>
            <w:r w:rsidRPr="00160991">
              <w:t xml:space="preserve">able to work in a fast-paced environment with a flexible approach, able to handle a number of activities simultaneously. </w:t>
            </w:r>
          </w:p>
          <w:p w14:paraId="303A599C" w14:textId="77777777" w:rsidR="00CD4DBB" w:rsidRPr="00160991" w:rsidRDefault="00CD4DBB" w:rsidP="00CD4DBB"/>
          <w:p w14:paraId="0E2C1C64" w14:textId="498C93A2" w:rsidR="00DE63ED" w:rsidRDefault="00CD4DBB" w:rsidP="00CD4DBB">
            <w:r>
              <w:t>A hands-on approach as well as exposure to the full HR life cycle is required, as are excellent relationship management and communication skills and a dedicated, professional outlook. This may have been gained in a r</w:t>
            </w:r>
            <w:r w:rsidRPr="00496FF9">
              <w:t>egulated customer service sector</w:t>
            </w:r>
            <w:r>
              <w:t>, or</w:t>
            </w:r>
            <w:r w:rsidRPr="00496FF9">
              <w:t xml:space="preserve"> in at least one organisation with a strong focus on values and employee engagement.</w:t>
            </w:r>
          </w:p>
          <w:p w14:paraId="72742E81" w14:textId="77777777" w:rsidR="00DE63ED" w:rsidRDefault="00DE63ED" w:rsidP="00216AA4"/>
          <w:p w14:paraId="189AB383" w14:textId="77777777" w:rsidR="00216AA4" w:rsidRDefault="00216AA4" w:rsidP="00216AA4"/>
          <w:p w14:paraId="573D8785" w14:textId="77777777" w:rsidR="00216AA4" w:rsidRDefault="00216AA4" w:rsidP="00216AA4"/>
          <w:p w14:paraId="78F60A95" w14:textId="77777777" w:rsidR="00216AA4" w:rsidRDefault="00216AA4" w:rsidP="00216AA4"/>
          <w:p w14:paraId="48813D70" w14:textId="77777777" w:rsidR="00216AA4" w:rsidRDefault="00216AA4" w:rsidP="00216AA4"/>
          <w:p w14:paraId="363922CB" w14:textId="77777777" w:rsidR="00216AA4" w:rsidRDefault="00216AA4" w:rsidP="00216AA4"/>
          <w:p w14:paraId="029F4B3B" w14:textId="77777777" w:rsidR="00216AA4" w:rsidRDefault="00216AA4" w:rsidP="00216AA4"/>
          <w:p w14:paraId="691DD4D8" w14:textId="5332B963" w:rsidR="007221CE" w:rsidRPr="00DE63ED" w:rsidRDefault="007221CE" w:rsidP="00DE63ED">
            <w:pPr>
              <w:widowControl w:val="0"/>
              <w:rPr>
                <w:rFonts w:cs="Calibri"/>
                <w:snapToGrid w:val="0"/>
              </w:rPr>
            </w:pPr>
          </w:p>
        </w:tc>
      </w:tr>
      <w:tr w:rsidR="007221CE" w:rsidRPr="007221CE" w14:paraId="54C0B64F" w14:textId="77777777" w:rsidTr="00800569">
        <w:trPr>
          <w:trHeight w:val="288"/>
        </w:trPr>
        <w:tc>
          <w:tcPr>
            <w:tcW w:w="5000" w:type="pct"/>
            <w:gridSpan w:val="8"/>
            <w:shd w:val="clear" w:color="auto" w:fill="8DB3E2" w:themeFill="text2" w:themeFillTint="66"/>
            <w:noWrap/>
            <w:hideMark/>
          </w:tcPr>
          <w:p w14:paraId="6F741E71" w14:textId="77777777" w:rsidR="007221CE" w:rsidRPr="007221CE" w:rsidRDefault="007221CE" w:rsidP="009A609E">
            <w:r w:rsidRPr="009A609E">
              <w:rPr>
                <w:b/>
              </w:rPr>
              <w:lastRenderedPageBreak/>
              <w:t>R</w:t>
            </w:r>
            <w:r w:rsidR="009A609E">
              <w:rPr>
                <w:b/>
              </w:rPr>
              <w:t>EQUIREMENTS</w:t>
            </w:r>
            <w:r w:rsidRPr="009A609E">
              <w:rPr>
                <w:b/>
              </w:rPr>
              <w:t xml:space="preserve">: </w:t>
            </w:r>
          </w:p>
        </w:tc>
      </w:tr>
      <w:tr w:rsidR="007221CE" w:rsidRPr="007221CE" w14:paraId="7F8E9DE8" w14:textId="77777777" w:rsidTr="00DE63ED">
        <w:trPr>
          <w:trHeight w:val="2100"/>
        </w:trPr>
        <w:tc>
          <w:tcPr>
            <w:tcW w:w="5000" w:type="pct"/>
            <w:gridSpan w:val="8"/>
          </w:tcPr>
          <w:p w14:paraId="569B2FD0" w14:textId="77777777" w:rsidR="00216AA4" w:rsidRDefault="00216AA4" w:rsidP="00216AA4">
            <w:pPr>
              <w:widowControl w:val="0"/>
              <w:rPr>
                <w:rFonts w:eastAsia="Times New Roman" w:cs="Tahoma"/>
                <w:snapToGrid w:val="0"/>
                <w:color w:val="000000"/>
                <w:lang w:val="en-US"/>
              </w:rPr>
            </w:pPr>
            <w:r>
              <w:rPr>
                <w:rFonts w:eastAsia="Times New Roman" w:cs="Tahoma"/>
                <w:snapToGrid w:val="0"/>
                <w:lang w:val="en-US"/>
              </w:rPr>
              <w:t xml:space="preserve">Excellent </w:t>
            </w:r>
            <w:r w:rsidRPr="00F62945">
              <w:rPr>
                <w:rFonts w:eastAsia="Times New Roman" w:cs="Tahoma"/>
                <w:snapToGrid w:val="0"/>
                <w:lang w:val="en-US"/>
              </w:rPr>
              <w:t xml:space="preserve">understanding </w:t>
            </w:r>
            <w:r w:rsidRPr="00B02609">
              <w:rPr>
                <w:rFonts w:eastAsia="Times New Roman" w:cs="Tahoma"/>
                <w:snapToGrid w:val="0"/>
                <w:color w:val="000000"/>
                <w:lang w:val="en-US"/>
              </w:rPr>
              <w:t>of employment legi</w:t>
            </w:r>
            <w:r>
              <w:rPr>
                <w:rFonts w:eastAsia="Times New Roman" w:cs="Tahoma"/>
                <w:snapToGrid w:val="0"/>
                <w:color w:val="000000"/>
                <w:lang w:val="en-US"/>
              </w:rPr>
              <w:t>slation and HR best practice, with experience of applying this pragmatically to achieve business outcomes.</w:t>
            </w:r>
          </w:p>
          <w:p w14:paraId="1A862A03" w14:textId="77777777" w:rsidR="00216AA4" w:rsidRDefault="00216AA4" w:rsidP="00216AA4">
            <w:pPr>
              <w:widowControl w:val="0"/>
              <w:rPr>
                <w:rFonts w:eastAsia="Times New Roman" w:cs="Tahoma"/>
                <w:snapToGrid w:val="0"/>
                <w:color w:val="000000"/>
                <w:lang w:val="en-US"/>
              </w:rPr>
            </w:pPr>
            <w:r>
              <w:rPr>
                <w:rFonts w:eastAsia="Times New Roman" w:cs="Tahoma"/>
                <w:snapToGrid w:val="0"/>
                <w:color w:val="000000"/>
                <w:lang w:val="en-US"/>
              </w:rPr>
              <w:t>Organisation design and change implementation.</w:t>
            </w:r>
          </w:p>
          <w:p w14:paraId="28067AB3" w14:textId="77777777" w:rsidR="00216AA4" w:rsidRDefault="00216AA4" w:rsidP="00216AA4">
            <w:pPr>
              <w:tabs>
                <w:tab w:val="num" w:pos="720"/>
              </w:tabs>
              <w:rPr>
                <w:rFonts w:eastAsia="Times New Roman" w:cs="Tahoma"/>
                <w:snapToGrid w:val="0"/>
                <w:color w:val="000000"/>
                <w:lang w:val="en-US"/>
              </w:rPr>
            </w:pPr>
            <w:r w:rsidRPr="00B02609">
              <w:rPr>
                <w:rFonts w:eastAsia="Times New Roman" w:cs="Tahoma"/>
                <w:snapToGrid w:val="0"/>
                <w:color w:val="000000"/>
                <w:lang w:val="en-US"/>
              </w:rPr>
              <w:t>CIPD qualifi</w:t>
            </w:r>
            <w:r>
              <w:rPr>
                <w:rFonts w:eastAsia="Times New Roman" w:cs="Tahoma"/>
                <w:snapToGrid w:val="0"/>
                <w:color w:val="000000"/>
                <w:lang w:val="en-US"/>
              </w:rPr>
              <w:t>cation or equivalent.</w:t>
            </w:r>
          </w:p>
          <w:p w14:paraId="1B9DF50E" w14:textId="77777777" w:rsidR="00216AA4" w:rsidRDefault="00216AA4" w:rsidP="00216AA4">
            <w:pPr>
              <w:tabs>
                <w:tab w:val="num" w:pos="720"/>
              </w:tabs>
              <w:rPr>
                <w:rFonts w:eastAsia="Times New Roman" w:cs="Tahoma"/>
                <w:snapToGrid w:val="0"/>
                <w:color w:val="000000"/>
                <w:lang w:val="en-US"/>
              </w:rPr>
            </w:pPr>
            <w:r>
              <w:rPr>
                <w:rFonts w:eastAsia="Times New Roman" w:cs="Tahoma"/>
                <w:snapToGrid w:val="0"/>
                <w:color w:val="000000"/>
                <w:lang w:val="en-US"/>
              </w:rPr>
              <w:t>Project management experience.</w:t>
            </w:r>
          </w:p>
          <w:p w14:paraId="3798E4CF" w14:textId="15CECD44" w:rsidR="00AE68AB" w:rsidRPr="007221CE" w:rsidRDefault="00216AA4" w:rsidP="00216AA4">
            <w:r>
              <w:rPr>
                <w:rFonts w:eastAsia="Times New Roman" w:cs="Tahoma"/>
                <w:snapToGrid w:val="0"/>
                <w:color w:val="000000"/>
                <w:lang w:val="en-US"/>
              </w:rPr>
              <w:t>Experience of developing policies and procedures.</w:t>
            </w:r>
          </w:p>
        </w:tc>
      </w:tr>
    </w:tbl>
    <w:p w14:paraId="6BD39C9F" w14:textId="77777777" w:rsidR="007221CE" w:rsidRDefault="007221CE" w:rsidP="00800569">
      <w:pPr>
        <w:spacing w:after="0"/>
      </w:pPr>
    </w:p>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A74FF6" w:rsidRPr="007221CE" w14:paraId="7B0CAC29" w14:textId="77777777" w:rsidTr="00DE63ED">
        <w:trPr>
          <w:trHeight w:val="940"/>
        </w:trPr>
        <w:tc>
          <w:tcPr>
            <w:tcW w:w="1881" w:type="dxa"/>
          </w:tcPr>
          <w:p w14:paraId="46460693" w14:textId="77777777" w:rsidR="00A74FF6" w:rsidRPr="007221CE" w:rsidRDefault="00A74FF6" w:rsidP="00A74FF6">
            <w:pPr>
              <w:rPr>
                <w:b/>
                <w:bCs/>
              </w:rPr>
            </w:pPr>
            <w:r>
              <w:rPr>
                <w:b/>
                <w:bCs/>
              </w:rPr>
              <w:t>General Profile</w:t>
            </w:r>
          </w:p>
        </w:tc>
        <w:tc>
          <w:tcPr>
            <w:tcW w:w="8327" w:type="dxa"/>
          </w:tcPr>
          <w:p w14:paraId="682A391D" w14:textId="77777777" w:rsidR="00A74FF6" w:rsidRDefault="00A74FF6" w:rsidP="00A74FF6">
            <w:pPr>
              <w:widowControl w:val="0"/>
              <w:rPr>
                <w:rFonts w:cs="Tahoma"/>
                <w:snapToGrid w:val="0"/>
                <w:color w:val="000000"/>
              </w:rPr>
            </w:pPr>
            <w:r w:rsidRPr="00A814A4">
              <w:rPr>
                <w:rFonts w:cs="Tahoma"/>
                <w:snapToGrid w:val="0"/>
                <w:color w:val="000000"/>
              </w:rPr>
              <w:t xml:space="preserve">Provides a responsive, high quality, advice service to </w:t>
            </w:r>
            <w:r>
              <w:rPr>
                <w:rFonts w:cs="Tahoma"/>
                <w:snapToGrid w:val="0"/>
                <w:color w:val="000000"/>
              </w:rPr>
              <w:t xml:space="preserve">leaders </w:t>
            </w:r>
            <w:r w:rsidRPr="00A814A4">
              <w:rPr>
                <w:rFonts w:cs="Tahoma"/>
                <w:snapToGrid w:val="0"/>
                <w:color w:val="000000"/>
              </w:rPr>
              <w:t xml:space="preserve">on all aspects of HR including </w:t>
            </w:r>
            <w:r>
              <w:rPr>
                <w:rFonts w:cs="Tahoma"/>
                <w:snapToGrid w:val="0"/>
                <w:color w:val="000000"/>
              </w:rPr>
              <w:t>employee relations</w:t>
            </w:r>
            <w:r w:rsidRPr="00A814A4">
              <w:rPr>
                <w:rFonts w:cs="Tahoma"/>
                <w:snapToGrid w:val="0"/>
                <w:color w:val="000000"/>
              </w:rPr>
              <w:t xml:space="preserve">, performance management, absence management and organisational change to ensure business results are achieved. </w:t>
            </w:r>
          </w:p>
          <w:p w14:paraId="36DDE9FF" w14:textId="77777777" w:rsidR="00A74FF6" w:rsidRDefault="00A74FF6" w:rsidP="00A74FF6">
            <w:pPr>
              <w:widowControl w:val="0"/>
              <w:rPr>
                <w:rFonts w:cs="Tahoma"/>
                <w:snapToGrid w:val="0"/>
                <w:color w:val="000000"/>
              </w:rPr>
            </w:pPr>
          </w:p>
          <w:p w14:paraId="7A66BB04" w14:textId="77777777" w:rsidR="00A74FF6" w:rsidRDefault="00A74FF6" w:rsidP="00A74FF6">
            <w:pPr>
              <w:widowControl w:val="0"/>
              <w:rPr>
                <w:rFonts w:cs="Tahoma"/>
                <w:snapToGrid w:val="0"/>
                <w:color w:val="000000"/>
              </w:rPr>
            </w:pPr>
            <w:r w:rsidRPr="00A814A4">
              <w:rPr>
                <w:rFonts w:cs="Tahoma"/>
                <w:snapToGrid w:val="0"/>
                <w:color w:val="000000"/>
              </w:rPr>
              <w:t>Provid</w:t>
            </w:r>
            <w:r>
              <w:rPr>
                <w:rFonts w:cs="Tahoma"/>
                <w:snapToGrid w:val="0"/>
                <w:color w:val="000000"/>
              </w:rPr>
              <w:t xml:space="preserve">es </w:t>
            </w:r>
            <w:r w:rsidRPr="00A814A4">
              <w:rPr>
                <w:rFonts w:cs="Tahoma"/>
                <w:snapToGrid w:val="0"/>
                <w:color w:val="000000"/>
              </w:rPr>
              <w:t>appropriate coaching and development feedback when required</w:t>
            </w:r>
            <w:r>
              <w:rPr>
                <w:rFonts w:cs="Tahoma"/>
                <w:snapToGrid w:val="0"/>
                <w:color w:val="000000"/>
              </w:rPr>
              <w:t xml:space="preserve"> to ensure continuous development of our leadership team. Identifies areas where upskilling is required and develops the appropriate interventions to support this.</w:t>
            </w:r>
          </w:p>
          <w:p w14:paraId="5221916C" w14:textId="77777777" w:rsidR="00A74FF6" w:rsidRPr="00A814A4" w:rsidRDefault="00A74FF6" w:rsidP="00A74FF6">
            <w:pPr>
              <w:widowControl w:val="0"/>
              <w:rPr>
                <w:rFonts w:cs="Tahoma"/>
                <w:snapToGrid w:val="0"/>
                <w:color w:val="000000"/>
              </w:rPr>
            </w:pPr>
          </w:p>
          <w:p w14:paraId="6CD4B792" w14:textId="77777777" w:rsidR="00A74FF6" w:rsidRPr="00A814A4" w:rsidRDefault="00A74FF6" w:rsidP="00A74FF6">
            <w:pPr>
              <w:widowControl w:val="0"/>
              <w:rPr>
                <w:rFonts w:cs="Tahoma"/>
                <w:snapToGrid w:val="0"/>
                <w:color w:val="000000"/>
              </w:rPr>
            </w:pPr>
            <w:r>
              <w:rPr>
                <w:rFonts w:cs="Tahoma"/>
                <w:snapToGrid w:val="0"/>
                <w:color w:val="000000"/>
              </w:rPr>
              <w:t xml:space="preserve">Deals with </w:t>
            </w:r>
            <w:r w:rsidRPr="00A814A4">
              <w:rPr>
                <w:rFonts w:cs="Tahoma"/>
                <w:snapToGrid w:val="0"/>
                <w:color w:val="000000"/>
              </w:rPr>
              <w:t>complex employee relations</w:t>
            </w:r>
            <w:r>
              <w:rPr>
                <w:rFonts w:cs="Tahoma"/>
                <w:snapToGrid w:val="0"/>
                <w:color w:val="000000"/>
              </w:rPr>
              <w:t xml:space="preserve"> and</w:t>
            </w:r>
            <w:r w:rsidRPr="00A814A4">
              <w:rPr>
                <w:rFonts w:cs="Tahoma"/>
                <w:snapToGrid w:val="0"/>
                <w:color w:val="000000"/>
              </w:rPr>
              <w:t xml:space="preserve"> generalist issues</w:t>
            </w:r>
            <w:r>
              <w:rPr>
                <w:rFonts w:cs="Tahoma"/>
                <w:snapToGrid w:val="0"/>
                <w:color w:val="000000"/>
              </w:rPr>
              <w:t xml:space="preserve">. Works with the wider People function to ensure talent acquisition, talent succession and reward issues are dealt with effectively. </w:t>
            </w:r>
            <w:r w:rsidRPr="00A814A4">
              <w:rPr>
                <w:rFonts w:cs="Tahoma"/>
                <w:snapToGrid w:val="0"/>
                <w:color w:val="000000"/>
              </w:rPr>
              <w:t xml:space="preserve"> </w:t>
            </w:r>
          </w:p>
          <w:p w14:paraId="379345FD" w14:textId="77777777" w:rsidR="00A74FF6" w:rsidRPr="00A814A4" w:rsidRDefault="00A74FF6" w:rsidP="00A74FF6"/>
          <w:p w14:paraId="27F0CEC2" w14:textId="77777777" w:rsidR="00A74FF6" w:rsidRDefault="00A74FF6" w:rsidP="00A74FF6">
            <w:pPr>
              <w:rPr>
                <w:rFonts w:cs="Tahoma"/>
                <w:snapToGrid w:val="0"/>
                <w:color w:val="000000"/>
              </w:rPr>
            </w:pPr>
            <w:r w:rsidRPr="00A814A4">
              <w:rPr>
                <w:rFonts w:cs="Tahoma"/>
                <w:snapToGrid w:val="0"/>
                <w:color w:val="000000"/>
              </w:rPr>
              <w:t xml:space="preserve">Advises </w:t>
            </w:r>
            <w:r>
              <w:rPr>
                <w:rFonts w:cs="Tahoma"/>
                <w:snapToGrid w:val="0"/>
                <w:color w:val="000000"/>
              </w:rPr>
              <w:t xml:space="preserve">and coaches </w:t>
            </w:r>
            <w:r w:rsidRPr="00A814A4">
              <w:rPr>
                <w:rFonts w:cs="Tahoma"/>
                <w:snapToGrid w:val="0"/>
                <w:color w:val="000000"/>
              </w:rPr>
              <w:t xml:space="preserve">managers </w:t>
            </w:r>
            <w:r>
              <w:rPr>
                <w:rFonts w:cs="Tahoma"/>
                <w:snapToGrid w:val="0"/>
                <w:color w:val="000000"/>
              </w:rPr>
              <w:t xml:space="preserve">on </w:t>
            </w:r>
            <w:r w:rsidRPr="00A814A4">
              <w:rPr>
                <w:rFonts w:cs="Tahoma"/>
                <w:snapToGrid w:val="0"/>
                <w:color w:val="000000"/>
              </w:rPr>
              <w:t>organisational design, supporting restructures and people impacts as appropriate whilst ensuring compliance with current legislation</w:t>
            </w:r>
            <w:r>
              <w:rPr>
                <w:rFonts w:cs="Tahoma"/>
                <w:snapToGrid w:val="0"/>
                <w:color w:val="000000"/>
              </w:rPr>
              <w:t>.</w:t>
            </w:r>
          </w:p>
          <w:p w14:paraId="5C38A5C4" w14:textId="77777777" w:rsidR="00A74FF6" w:rsidRDefault="00A74FF6" w:rsidP="00A74FF6">
            <w:pPr>
              <w:rPr>
                <w:rFonts w:cs="Tahoma"/>
                <w:snapToGrid w:val="0"/>
                <w:color w:val="000000"/>
              </w:rPr>
            </w:pPr>
          </w:p>
          <w:p w14:paraId="043C4060" w14:textId="77777777" w:rsidR="00A74FF6" w:rsidRDefault="00A74FF6" w:rsidP="00A74FF6">
            <w:pPr>
              <w:widowControl w:val="0"/>
              <w:rPr>
                <w:rFonts w:cs="Tahoma"/>
                <w:snapToGrid w:val="0"/>
                <w:color w:val="000000"/>
              </w:rPr>
            </w:pPr>
            <w:r>
              <w:rPr>
                <w:rFonts w:cs="Tahoma"/>
                <w:snapToGrid w:val="0"/>
                <w:color w:val="000000"/>
              </w:rPr>
              <w:t xml:space="preserve">Leads on People Partnering projects and initiatives and supports on People </w:t>
            </w:r>
            <w:r w:rsidRPr="00A814A4">
              <w:rPr>
                <w:rFonts w:cs="Tahoma"/>
                <w:snapToGrid w:val="0"/>
                <w:color w:val="000000"/>
              </w:rPr>
              <w:t xml:space="preserve">workstreams of corporate projects where appropriate.  </w:t>
            </w:r>
          </w:p>
          <w:p w14:paraId="167E5322" w14:textId="77777777" w:rsidR="00A74FF6" w:rsidRDefault="00A74FF6" w:rsidP="00A74FF6">
            <w:pPr>
              <w:widowControl w:val="0"/>
              <w:rPr>
                <w:rFonts w:cs="Tahoma"/>
                <w:snapToGrid w:val="0"/>
                <w:color w:val="000000"/>
              </w:rPr>
            </w:pPr>
          </w:p>
          <w:p w14:paraId="0747F1EF" w14:textId="77777777" w:rsidR="00A74FF6" w:rsidRPr="00A814A4" w:rsidRDefault="00A74FF6" w:rsidP="00A74FF6">
            <w:pPr>
              <w:widowControl w:val="0"/>
              <w:rPr>
                <w:rFonts w:cs="Tahoma"/>
                <w:snapToGrid w:val="0"/>
                <w:color w:val="000000"/>
              </w:rPr>
            </w:pPr>
            <w:r>
              <w:rPr>
                <w:rFonts w:cs="Tahoma"/>
                <w:snapToGrid w:val="0"/>
                <w:color w:val="000000"/>
              </w:rPr>
              <w:t>Leads the review of People practices and policies to ensure that we meet legislative requirements and keep up to date with latest trends and best practice.</w:t>
            </w:r>
          </w:p>
          <w:p w14:paraId="0776FE76" w14:textId="5325B61E" w:rsidR="00A74FF6" w:rsidRPr="007221CE" w:rsidRDefault="00A74FF6" w:rsidP="00A74FF6"/>
        </w:tc>
      </w:tr>
      <w:tr w:rsidR="00A74FF6" w:rsidRPr="007221CE" w14:paraId="29B01F88" w14:textId="77777777" w:rsidTr="00A74FF6">
        <w:trPr>
          <w:trHeight w:val="660"/>
        </w:trPr>
        <w:tc>
          <w:tcPr>
            <w:tcW w:w="1881" w:type="dxa"/>
            <w:hideMark/>
          </w:tcPr>
          <w:p w14:paraId="3035A30C" w14:textId="77777777" w:rsidR="00A74FF6" w:rsidRPr="007221CE" w:rsidRDefault="00A74FF6" w:rsidP="00A74FF6">
            <w:pPr>
              <w:rPr>
                <w:b/>
                <w:bCs/>
              </w:rPr>
            </w:pPr>
            <w:r w:rsidRPr="007221CE">
              <w:rPr>
                <w:b/>
                <w:bCs/>
              </w:rPr>
              <w:t>People &amp; Relationships</w:t>
            </w:r>
          </w:p>
        </w:tc>
        <w:tc>
          <w:tcPr>
            <w:tcW w:w="8327" w:type="dxa"/>
          </w:tcPr>
          <w:p w14:paraId="14BCCA78" w14:textId="6E19023D" w:rsidR="00A74FF6" w:rsidRDefault="00A74FF6" w:rsidP="00A74FF6">
            <w:pPr>
              <w:spacing w:after="120"/>
            </w:pPr>
            <w:r w:rsidRPr="00A814A4">
              <w:rPr>
                <w:rFonts w:cs="Tahoma"/>
                <w:snapToGrid w:val="0"/>
                <w:color w:val="000000"/>
              </w:rPr>
              <w:t>Builds effective and credible working relationships with all</w:t>
            </w:r>
            <w:r>
              <w:rPr>
                <w:rFonts w:cs="Tahoma"/>
                <w:snapToGrid w:val="0"/>
                <w:color w:val="000000"/>
              </w:rPr>
              <w:t xml:space="preserve"> colleagues</w:t>
            </w:r>
            <w:r w:rsidRPr="00A814A4">
              <w:rPr>
                <w:rFonts w:cs="Tahoma"/>
                <w:snapToGrid w:val="0"/>
                <w:color w:val="000000"/>
              </w:rPr>
              <w:t xml:space="preserve">, </w:t>
            </w:r>
            <w:r>
              <w:rPr>
                <w:rFonts w:cs="Tahoma"/>
                <w:snapToGrid w:val="0"/>
                <w:color w:val="000000"/>
              </w:rPr>
              <w:t>leaders</w:t>
            </w:r>
            <w:r w:rsidRPr="00A814A4">
              <w:rPr>
                <w:rFonts w:cs="Tahoma"/>
                <w:snapToGrid w:val="0"/>
                <w:color w:val="000000"/>
              </w:rPr>
              <w:t xml:space="preserve">, </w:t>
            </w:r>
            <w:r>
              <w:rPr>
                <w:rFonts w:cs="Tahoma"/>
                <w:snapToGrid w:val="0"/>
                <w:color w:val="000000"/>
              </w:rPr>
              <w:t xml:space="preserve">trade </w:t>
            </w:r>
            <w:r w:rsidRPr="00A814A4">
              <w:rPr>
                <w:rFonts w:cs="Tahoma"/>
                <w:snapToGrid w:val="0"/>
                <w:color w:val="000000"/>
              </w:rPr>
              <w:t>union and external organisations</w:t>
            </w:r>
            <w:r>
              <w:rPr>
                <w:rFonts w:cs="Tahoma"/>
                <w:snapToGrid w:val="0"/>
                <w:color w:val="000000"/>
              </w:rPr>
              <w:t>.</w:t>
            </w:r>
            <w:r w:rsidRPr="00A814A4">
              <w:rPr>
                <w:rFonts w:cs="Tahoma"/>
                <w:snapToGrid w:val="0"/>
                <w:color w:val="000000"/>
              </w:rPr>
              <w:t xml:space="preserve"> </w:t>
            </w:r>
          </w:p>
        </w:tc>
      </w:tr>
      <w:tr w:rsidR="00A74FF6" w:rsidRPr="007221CE" w14:paraId="1A521817" w14:textId="77777777" w:rsidTr="00A74FF6">
        <w:trPr>
          <w:trHeight w:val="712"/>
        </w:trPr>
        <w:tc>
          <w:tcPr>
            <w:tcW w:w="1881" w:type="dxa"/>
            <w:hideMark/>
          </w:tcPr>
          <w:p w14:paraId="64B67840" w14:textId="77777777" w:rsidR="00A74FF6" w:rsidRPr="007221CE" w:rsidRDefault="00A74FF6" w:rsidP="00A74FF6">
            <w:pPr>
              <w:rPr>
                <w:b/>
                <w:bCs/>
              </w:rPr>
            </w:pPr>
            <w:r w:rsidRPr="007221CE">
              <w:rPr>
                <w:b/>
                <w:bCs/>
              </w:rPr>
              <w:t>Governance, Risk &amp; Controls</w:t>
            </w:r>
          </w:p>
        </w:tc>
        <w:tc>
          <w:tcPr>
            <w:tcW w:w="8327" w:type="dxa"/>
          </w:tcPr>
          <w:p w14:paraId="5077C2A3" w14:textId="77777777" w:rsidR="00A74FF6" w:rsidRPr="00A814A4" w:rsidRDefault="00A74FF6" w:rsidP="00A74FF6">
            <w:pPr>
              <w:widowControl w:val="0"/>
              <w:rPr>
                <w:rFonts w:cs="Tahoma"/>
                <w:snapToGrid w:val="0"/>
                <w:color w:val="000000"/>
              </w:rPr>
            </w:pPr>
            <w:r w:rsidRPr="00A814A4">
              <w:rPr>
                <w:rFonts w:cs="Tahoma"/>
                <w:snapToGrid w:val="0"/>
                <w:color w:val="000000"/>
              </w:rPr>
              <w:t>Limit</w:t>
            </w:r>
            <w:r>
              <w:rPr>
                <w:rFonts w:cs="Tahoma"/>
                <w:snapToGrid w:val="0"/>
                <w:color w:val="000000"/>
              </w:rPr>
              <w:t>s</w:t>
            </w:r>
            <w:r w:rsidRPr="00A814A4">
              <w:rPr>
                <w:rFonts w:cs="Tahoma"/>
                <w:snapToGrid w:val="0"/>
                <w:color w:val="000000"/>
              </w:rPr>
              <w:t xml:space="preserve"> risk to the Society of complaints, grievances and employment claims by ensuring advice to </w:t>
            </w:r>
            <w:r>
              <w:rPr>
                <w:rFonts w:cs="Tahoma"/>
                <w:snapToGrid w:val="0"/>
                <w:color w:val="000000"/>
              </w:rPr>
              <w:t xml:space="preserve">leaders </w:t>
            </w:r>
            <w:r w:rsidRPr="00A814A4">
              <w:rPr>
                <w:rFonts w:cs="Tahoma"/>
                <w:snapToGrid w:val="0"/>
                <w:color w:val="000000"/>
              </w:rPr>
              <w:t xml:space="preserve">is in line with current employment legislation whilst working, where possible, to achieve business objectives. </w:t>
            </w:r>
          </w:p>
          <w:p w14:paraId="473012E8" w14:textId="458EDFDD" w:rsidR="00A74FF6" w:rsidRDefault="00A74FF6" w:rsidP="00A74FF6">
            <w:pPr>
              <w:spacing w:after="120"/>
            </w:pPr>
          </w:p>
        </w:tc>
      </w:tr>
      <w:tr w:rsidR="00A74FF6" w:rsidRPr="007221CE" w14:paraId="4CE230D0" w14:textId="77777777" w:rsidTr="00A74FF6">
        <w:trPr>
          <w:trHeight w:val="644"/>
        </w:trPr>
        <w:tc>
          <w:tcPr>
            <w:tcW w:w="1881" w:type="dxa"/>
            <w:hideMark/>
          </w:tcPr>
          <w:p w14:paraId="5A72DA9C" w14:textId="77777777" w:rsidR="00A74FF6" w:rsidRPr="007221CE" w:rsidRDefault="00A74FF6" w:rsidP="00A74FF6">
            <w:pPr>
              <w:rPr>
                <w:b/>
                <w:bCs/>
              </w:rPr>
            </w:pPr>
            <w:r w:rsidRPr="007221CE">
              <w:rPr>
                <w:b/>
                <w:bCs/>
              </w:rPr>
              <w:t>Impact, Scale &amp; Influence</w:t>
            </w:r>
          </w:p>
        </w:tc>
        <w:tc>
          <w:tcPr>
            <w:tcW w:w="8327" w:type="dxa"/>
          </w:tcPr>
          <w:p w14:paraId="59BDA138" w14:textId="77777777" w:rsidR="00A74FF6" w:rsidRPr="00A814A4" w:rsidRDefault="00A74FF6" w:rsidP="00A74FF6">
            <w:r w:rsidRPr="00A814A4">
              <w:rPr>
                <w:rFonts w:cs="Tahoma"/>
                <w:snapToGrid w:val="0"/>
                <w:color w:val="000000"/>
              </w:rPr>
              <w:t>Drives a culture of ownership and accountability for people management practices in defined business area</w:t>
            </w:r>
            <w:r>
              <w:rPr>
                <w:rFonts w:cs="Tahoma"/>
                <w:snapToGrid w:val="0"/>
                <w:color w:val="000000"/>
              </w:rPr>
              <w:t>.</w:t>
            </w:r>
          </w:p>
          <w:p w14:paraId="5ADEBA48" w14:textId="77777777" w:rsidR="00A74FF6" w:rsidRDefault="00A74FF6" w:rsidP="00A74FF6">
            <w:pPr>
              <w:widowControl w:val="0"/>
              <w:rPr>
                <w:rFonts w:cs="Tahoma"/>
                <w:snapToGrid w:val="0"/>
                <w:color w:val="000000"/>
              </w:rPr>
            </w:pPr>
          </w:p>
          <w:p w14:paraId="03396B9E" w14:textId="1D72D763" w:rsidR="00A74FF6" w:rsidRPr="007221CE" w:rsidRDefault="00A74FF6" w:rsidP="00A74FF6">
            <w:pPr>
              <w:spacing w:after="120"/>
            </w:pPr>
          </w:p>
        </w:tc>
      </w:tr>
      <w:tr w:rsidR="00A74FF6" w:rsidRPr="007221CE" w14:paraId="2AA6FA85" w14:textId="77777777" w:rsidTr="001423BE">
        <w:trPr>
          <w:trHeight w:val="1231"/>
        </w:trPr>
        <w:tc>
          <w:tcPr>
            <w:tcW w:w="1881" w:type="dxa"/>
            <w:hideMark/>
          </w:tcPr>
          <w:p w14:paraId="1C77800C" w14:textId="77777777" w:rsidR="00A74FF6" w:rsidRPr="007221CE" w:rsidRDefault="00A74FF6" w:rsidP="00A74FF6">
            <w:pPr>
              <w:rPr>
                <w:b/>
                <w:bCs/>
              </w:rPr>
            </w:pPr>
            <w:r w:rsidRPr="007221CE">
              <w:rPr>
                <w:b/>
                <w:bCs/>
              </w:rPr>
              <w:t xml:space="preserve">Decision Making / Problem Solving </w:t>
            </w:r>
          </w:p>
        </w:tc>
        <w:tc>
          <w:tcPr>
            <w:tcW w:w="8327" w:type="dxa"/>
          </w:tcPr>
          <w:p w14:paraId="2F7806BB" w14:textId="2D9D4D4D" w:rsidR="00A74FF6" w:rsidRPr="00DE63ED" w:rsidRDefault="00A74FF6" w:rsidP="00A74FF6">
            <w:pPr>
              <w:spacing w:after="120"/>
            </w:pPr>
            <w:r w:rsidRPr="00A814A4">
              <w:rPr>
                <w:rFonts w:cs="Tahoma"/>
                <w:snapToGrid w:val="0"/>
                <w:color w:val="000000"/>
              </w:rPr>
              <w:t>Uses MI and HR metrics to identify improvement opportunities and in conjunction with business area, develop solutions and prioritise delivery of their business goals</w:t>
            </w:r>
            <w:r>
              <w:rPr>
                <w:rFonts w:cs="Tahoma"/>
                <w:snapToGrid w:val="0"/>
                <w:color w:val="000000"/>
              </w:rPr>
              <w:t>.</w:t>
            </w:r>
          </w:p>
        </w:tc>
      </w:tr>
      <w:tr w:rsidR="00A74FF6" w:rsidRPr="007221CE" w14:paraId="7C0BF25A" w14:textId="77777777" w:rsidTr="00DE63ED">
        <w:trPr>
          <w:trHeight w:val="802"/>
        </w:trPr>
        <w:tc>
          <w:tcPr>
            <w:tcW w:w="1881" w:type="dxa"/>
          </w:tcPr>
          <w:p w14:paraId="00C8AC5C" w14:textId="77777777" w:rsidR="00A74FF6" w:rsidRPr="007221CE" w:rsidRDefault="00A74FF6" w:rsidP="00A74FF6">
            <w:pPr>
              <w:rPr>
                <w:b/>
                <w:bCs/>
              </w:rPr>
            </w:pPr>
            <w:r>
              <w:rPr>
                <w:b/>
                <w:bCs/>
              </w:rPr>
              <w:t>Comparable Roles</w:t>
            </w:r>
          </w:p>
        </w:tc>
        <w:tc>
          <w:tcPr>
            <w:tcW w:w="8327" w:type="dxa"/>
          </w:tcPr>
          <w:p w14:paraId="2D890184" w14:textId="5B6F37C0" w:rsidR="00A74FF6" w:rsidRDefault="00A74FF6" w:rsidP="00A74FF6"/>
        </w:tc>
      </w:tr>
    </w:tbl>
    <w:p w14:paraId="26E10B99" w14:textId="77777777" w:rsidR="007221CE" w:rsidRDefault="007221CE" w:rsidP="00A74FF6"/>
    <w:sectPr w:rsidR="007221CE" w:rsidSect="007221CE">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9FCA" w14:textId="77777777" w:rsidR="00DE63ED" w:rsidRDefault="00DE63ED" w:rsidP="00DE63ED">
      <w:pPr>
        <w:spacing w:after="0" w:line="240" w:lineRule="auto"/>
      </w:pPr>
      <w:r>
        <w:separator/>
      </w:r>
    </w:p>
  </w:endnote>
  <w:endnote w:type="continuationSeparator" w:id="0">
    <w:p w14:paraId="49B131F5" w14:textId="77777777" w:rsidR="00DE63ED" w:rsidRDefault="00DE63ED" w:rsidP="00DE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1DA" w14:textId="581BEA8D" w:rsidR="00DE63ED" w:rsidRDefault="00DE63ED">
    <w:pPr>
      <w:pStyle w:val="Footer"/>
    </w:pPr>
    <w:r>
      <w:rPr>
        <w:noProof/>
      </w:rPr>
      <mc:AlternateContent>
        <mc:Choice Requires="wps">
          <w:drawing>
            <wp:anchor distT="0" distB="0" distL="0" distR="0" simplePos="0" relativeHeight="251659264" behindDoc="0" locked="0" layoutInCell="1" allowOverlap="1" wp14:anchorId="420204C8" wp14:editId="38197FEC">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FF1CC" w14:textId="257BFFC5"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0204C8"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5CFF1CC" w14:textId="257BFFC5"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811F" w14:textId="4430E438" w:rsidR="00DE63ED" w:rsidRDefault="00DE63ED">
    <w:pPr>
      <w:pStyle w:val="Footer"/>
    </w:pPr>
    <w:r>
      <w:rPr>
        <w:noProof/>
      </w:rPr>
      <mc:AlternateContent>
        <mc:Choice Requires="wps">
          <w:drawing>
            <wp:anchor distT="0" distB="0" distL="0" distR="0" simplePos="0" relativeHeight="251660288" behindDoc="0" locked="0" layoutInCell="1" allowOverlap="1" wp14:anchorId="22B01D80" wp14:editId="42F29448">
              <wp:simplePos x="914400" y="10072048"/>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29D23" w14:textId="77A318C9"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B01D80"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4929D23" w14:textId="77A318C9"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48" w14:textId="5C219E89" w:rsidR="00DE63ED" w:rsidRDefault="00DE63ED">
    <w:pPr>
      <w:pStyle w:val="Footer"/>
    </w:pPr>
    <w:r>
      <w:rPr>
        <w:noProof/>
      </w:rPr>
      <mc:AlternateContent>
        <mc:Choice Requires="wps">
          <w:drawing>
            <wp:anchor distT="0" distB="0" distL="0" distR="0" simplePos="0" relativeHeight="251658240" behindDoc="0" locked="0" layoutInCell="1" allowOverlap="1" wp14:anchorId="10CBC55D" wp14:editId="70FD53ED">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C9BA3" w14:textId="6EABABDB"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CBC55D"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0BC9BA3" w14:textId="6EABABDB"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EC17" w14:textId="77777777" w:rsidR="00DE63ED" w:rsidRDefault="00DE63ED" w:rsidP="00DE63ED">
      <w:pPr>
        <w:spacing w:after="0" w:line="240" w:lineRule="auto"/>
      </w:pPr>
      <w:r>
        <w:separator/>
      </w:r>
    </w:p>
  </w:footnote>
  <w:footnote w:type="continuationSeparator" w:id="0">
    <w:p w14:paraId="09BA9676" w14:textId="77777777" w:rsidR="00DE63ED" w:rsidRDefault="00DE63ED" w:rsidP="00DE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A22"/>
    <w:multiLevelType w:val="hybridMultilevel"/>
    <w:tmpl w:val="ED927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65887"/>
    <w:multiLevelType w:val="hybridMultilevel"/>
    <w:tmpl w:val="0A1C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398"/>
    <w:multiLevelType w:val="hybridMultilevel"/>
    <w:tmpl w:val="D274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271E6"/>
    <w:multiLevelType w:val="hybridMultilevel"/>
    <w:tmpl w:val="A2F0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73B47"/>
    <w:multiLevelType w:val="hybridMultilevel"/>
    <w:tmpl w:val="C188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4A55F0"/>
    <w:multiLevelType w:val="hybridMultilevel"/>
    <w:tmpl w:val="78A4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F560FD"/>
    <w:multiLevelType w:val="hybridMultilevel"/>
    <w:tmpl w:val="2578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C046B"/>
    <w:multiLevelType w:val="hybridMultilevel"/>
    <w:tmpl w:val="EE7C9B7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15:restartNumberingAfterBreak="0">
    <w:nsid w:val="7E055E60"/>
    <w:multiLevelType w:val="hybridMultilevel"/>
    <w:tmpl w:val="2A48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043165">
    <w:abstractNumId w:val="3"/>
  </w:num>
  <w:num w:numId="2" w16cid:durableId="1387216292">
    <w:abstractNumId w:val="6"/>
  </w:num>
  <w:num w:numId="3" w16cid:durableId="1548369915">
    <w:abstractNumId w:val="7"/>
  </w:num>
  <w:num w:numId="4" w16cid:durableId="1963883378">
    <w:abstractNumId w:val="8"/>
  </w:num>
  <w:num w:numId="5" w16cid:durableId="1319650695">
    <w:abstractNumId w:val="5"/>
  </w:num>
  <w:num w:numId="6" w16cid:durableId="189950185">
    <w:abstractNumId w:val="0"/>
  </w:num>
  <w:num w:numId="7" w16cid:durableId="1342391211">
    <w:abstractNumId w:val="2"/>
  </w:num>
  <w:num w:numId="8" w16cid:durableId="1139347706">
    <w:abstractNumId w:val="4"/>
  </w:num>
  <w:num w:numId="9" w16cid:durableId="201341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C6A22"/>
    <w:rsid w:val="001423BE"/>
    <w:rsid w:val="0019560D"/>
    <w:rsid w:val="00216AA4"/>
    <w:rsid w:val="00234D58"/>
    <w:rsid w:val="002527A6"/>
    <w:rsid w:val="002A089C"/>
    <w:rsid w:val="00302E25"/>
    <w:rsid w:val="0030430B"/>
    <w:rsid w:val="00365EB1"/>
    <w:rsid w:val="00394ABC"/>
    <w:rsid w:val="00475190"/>
    <w:rsid w:val="00477447"/>
    <w:rsid w:val="004805DD"/>
    <w:rsid w:val="00484E3F"/>
    <w:rsid w:val="004C4F16"/>
    <w:rsid w:val="004D0321"/>
    <w:rsid w:val="00526E93"/>
    <w:rsid w:val="005D4F02"/>
    <w:rsid w:val="005E786F"/>
    <w:rsid w:val="00632EA5"/>
    <w:rsid w:val="00655A99"/>
    <w:rsid w:val="00687ECE"/>
    <w:rsid w:val="006D09CD"/>
    <w:rsid w:val="00720FBD"/>
    <w:rsid w:val="007221CE"/>
    <w:rsid w:val="00786115"/>
    <w:rsid w:val="00800569"/>
    <w:rsid w:val="00854E6F"/>
    <w:rsid w:val="008A6BE4"/>
    <w:rsid w:val="008B6FD3"/>
    <w:rsid w:val="00903122"/>
    <w:rsid w:val="00967691"/>
    <w:rsid w:val="009A609E"/>
    <w:rsid w:val="009D11F4"/>
    <w:rsid w:val="009F16CF"/>
    <w:rsid w:val="009F351E"/>
    <w:rsid w:val="00A114BF"/>
    <w:rsid w:val="00A74FF6"/>
    <w:rsid w:val="00AE68AB"/>
    <w:rsid w:val="00B06C6C"/>
    <w:rsid w:val="00BC79F7"/>
    <w:rsid w:val="00BF4557"/>
    <w:rsid w:val="00C46AFB"/>
    <w:rsid w:val="00CD4DBB"/>
    <w:rsid w:val="00D778C5"/>
    <w:rsid w:val="00DA4711"/>
    <w:rsid w:val="00DD7CDA"/>
    <w:rsid w:val="00DE2665"/>
    <w:rsid w:val="00DE63ED"/>
    <w:rsid w:val="00E0033E"/>
    <w:rsid w:val="00E61E3D"/>
    <w:rsid w:val="00ED04B4"/>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BodyText">
    <w:name w:val="Body Text"/>
    <w:basedOn w:val="Normal"/>
    <w:link w:val="BodyTextChar"/>
    <w:rsid w:val="00800569"/>
    <w:pPr>
      <w:widowControl w:val="0"/>
      <w:spacing w:after="0" w:line="240" w:lineRule="auto"/>
    </w:pPr>
    <w:rPr>
      <w:rFonts w:ascii="Times New Roman" w:eastAsia="Times New Roman" w:hAnsi="Times New Roman" w:cs="Times New Roman"/>
      <w:snapToGrid w:val="0"/>
      <w:color w:val="000000"/>
      <w:sz w:val="20"/>
      <w:szCs w:val="20"/>
      <w:lang w:val="en-US"/>
    </w:rPr>
  </w:style>
  <w:style w:type="character" w:customStyle="1" w:styleId="BodyTextChar">
    <w:name w:val="Body Text Char"/>
    <w:basedOn w:val="DefaultParagraphFont"/>
    <w:link w:val="BodyText"/>
    <w:rsid w:val="00800569"/>
    <w:rPr>
      <w:rFonts w:ascii="Times New Roman" w:eastAsia="Times New Roman" w:hAnsi="Times New Roman" w:cs="Times New Roman"/>
      <w:snapToGrid w:val="0"/>
      <w:color w:val="000000"/>
      <w:sz w:val="20"/>
      <w:szCs w:val="20"/>
      <w:lang w:val="en-US"/>
    </w:rPr>
  </w:style>
  <w:style w:type="paragraph" w:styleId="Footer">
    <w:name w:val="footer"/>
    <w:basedOn w:val="Normal"/>
    <w:link w:val="FooterChar"/>
    <w:uiPriority w:val="99"/>
    <w:unhideWhenUsed/>
    <w:rsid w:val="00DE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ED"/>
  </w:style>
  <w:style w:type="paragraph" w:styleId="NormalWeb">
    <w:name w:val="Normal (Web)"/>
    <w:basedOn w:val="Normal"/>
    <w:uiPriority w:val="99"/>
    <w:semiHidden/>
    <w:unhideWhenUsed/>
    <w:rsid w:val="00484E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477447"/>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20c946f-55ff-47c5-aa25-a871f10118c7">
      <Terms xmlns="http://schemas.microsoft.com/office/infopath/2007/PartnerControls"/>
    </lcf76f155ced4ddcb4097134ff3c332f>
    <_ip_UnifiedCompliancePolicyProperties xmlns="http://schemas.microsoft.com/sharepoint/v3" xsi:nil="true"/>
    <TaxCatchAll xmlns="9c69728e-c4c0-4591-bf01-a92a724eed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65BB2A6AEB7C488C3C662B0DF8581B" ma:contentTypeVersion="16" ma:contentTypeDescription="Create a new document." ma:contentTypeScope="" ma:versionID="58ad55cdd435f4859c7869592bd0a952">
  <xsd:schema xmlns:xsd="http://www.w3.org/2001/XMLSchema" xmlns:xs="http://www.w3.org/2001/XMLSchema" xmlns:p="http://schemas.microsoft.com/office/2006/metadata/properties" xmlns:ns1="http://schemas.microsoft.com/sharepoint/v3" xmlns:ns2="620c946f-55ff-47c5-aa25-a871f10118c7" xmlns:ns3="9c69728e-c4c0-4591-bf01-a92a724eed36" targetNamespace="http://schemas.microsoft.com/office/2006/metadata/properties" ma:root="true" ma:fieldsID="2b5e017aab6690c8231e8dda78e855c1" ns1:_="" ns2:_="" ns3:_="">
    <xsd:import namespace="http://schemas.microsoft.com/sharepoint/v3"/>
    <xsd:import namespace="620c946f-55ff-47c5-aa25-a871f10118c7"/>
    <xsd:import namespace="9c69728e-c4c0-4591-bf01-a92a724ee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0c946f-55ff-47c5-aa25-a871f101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9728e-c4c0-4591-bf01-a92a724eed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88feb5-75f7-4041-97ce-7cf49920f235}" ma:internalName="TaxCatchAll" ma:showField="CatchAllData" ma:web="9c69728e-c4c0-4591-bf01-a92a724eed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996CF-920D-40C4-B63E-DEB82A1642BD}">
  <ds:schemaRefs>
    <ds:schemaRef ds:uri="http://schemas.microsoft.com/office/2006/metadata/properties"/>
    <ds:schemaRef ds:uri="http://schemas.microsoft.com/office/infopath/2007/PartnerControls"/>
    <ds:schemaRef ds:uri="http://schemas.microsoft.com/sharepoint/v3"/>
    <ds:schemaRef ds:uri="620c946f-55ff-47c5-aa25-a871f10118c7"/>
    <ds:schemaRef ds:uri="9c69728e-c4c0-4591-bf01-a92a724eed36"/>
  </ds:schemaRefs>
</ds:datastoreItem>
</file>

<file path=customXml/itemProps2.xml><?xml version="1.0" encoding="utf-8"?>
<ds:datastoreItem xmlns:ds="http://schemas.openxmlformats.org/officeDocument/2006/customXml" ds:itemID="{30BBB6A1-3939-450B-A25A-06C0A35AD06E}">
  <ds:schemaRefs>
    <ds:schemaRef ds:uri="http://schemas.microsoft.com/sharepoint/v3/contenttype/forms"/>
  </ds:schemaRefs>
</ds:datastoreItem>
</file>

<file path=customXml/itemProps3.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customXml/itemProps4.xml><?xml version="1.0" encoding="utf-8"?>
<ds:datastoreItem xmlns:ds="http://schemas.openxmlformats.org/officeDocument/2006/customXml" ds:itemID="{E21D51A0-4484-4730-B18E-64EB2A5E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c946f-55ff-47c5-aa25-a871f10118c7"/>
    <ds:schemaRef ds:uri="9c69728e-c4c0-4591-bf01-a92a724e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93eb60-780d-4dff-be4c-06f9751d5669}" enabled="1" method="Privilege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4542</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Coventry Building Society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Benchmarking</dc:subject>
  <dc:creator>Nic Cook</dc:creator>
  <cp:keywords>Reward</cp:keywords>
  <cp:lastModifiedBy>James,Carla</cp:lastModifiedBy>
  <cp:revision>10</cp:revision>
  <dcterms:created xsi:type="dcterms:W3CDTF">2025-02-06T21:49:00Z</dcterms:created>
  <dcterms:modified xsi:type="dcterms:W3CDTF">2025-07-24T22:28:00Z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0x010100AC65BB2A6AEB7C488C3C662B0DF8581B</vt:lpwstr>
  </property>
  <property fmtid="{D5CDD505-2E9C-101B-9397-08002B2CF9AE}" pid="3" name="Order">
    <vt:r8>100</vt:r8>
  </property>
  <property fmtid="{D5CDD505-2E9C-101B-9397-08002B2CF9AE}" pid="4" name="MediaServiceImageTags">
    <vt:lpwstr/>
  </property>
</Properties>
</file>