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445" w:type="pct"/>
        <w:tblInd w:w="-318" w:type="dxa"/>
        <w:tblLayout w:type="fixed"/>
        <w:tblLook w:val="04A0" w:firstRow="1" w:lastRow="0" w:firstColumn="1" w:lastColumn="0" w:noHBand="0" w:noVBand="1"/>
      </w:tblPr>
      <w:tblGrid>
        <w:gridCol w:w="1518"/>
        <w:gridCol w:w="829"/>
        <w:gridCol w:w="791"/>
        <w:gridCol w:w="866"/>
        <w:gridCol w:w="320"/>
        <w:gridCol w:w="379"/>
        <w:gridCol w:w="2132"/>
        <w:gridCol w:w="2983"/>
      </w:tblGrid>
      <w:tr w:rsidR="002527A6" w14:paraId="0F71AC16" w14:textId="77777777" w:rsidTr="002527A6">
        <w:trPr>
          <w:trHeight w:val="480"/>
        </w:trPr>
        <w:tc>
          <w:tcPr>
            <w:tcW w:w="2202" w:type="pct"/>
            <w:gridSpan w:val="5"/>
            <w:vMerge w:val="restart"/>
          </w:tcPr>
          <w:p w14:paraId="0F71AC12" w14:textId="77777777" w:rsidR="007221CE" w:rsidRDefault="007221CE"/>
          <w:p w14:paraId="0F71AC13" w14:textId="77777777" w:rsidR="007221CE" w:rsidRDefault="007221CE">
            <w:r>
              <w:rPr>
                <w:noProof/>
                <w:lang w:eastAsia="en-GB"/>
              </w:rPr>
              <w:drawing>
                <wp:inline distT="0" distB="0" distL="0" distR="0" wp14:anchorId="0F71AC58" wp14:editId="0F71AC59">
                  <wp:extent cx="2118360" cy="533400"/>
                  <wp:effectExtent l="0" t="0" r="0" b="0"/>
                  <wp:docPr id="3" name="Picture 1" descr="cid:image003.png@01D2932A.1F9825A0"/>
                  <wp:cNvGraphicFramePr/>
                  <a:graphic xmlns:a="http://schemas.openxmlformats.org/drawingml/2006/main">
                    <a:graphicData uri="http://schemas.openxmlformats.org/drawingml/2006/picture">
                      <pic:pic xmlns:pic="http://schemas.openxmlformats.org/drawingml/2006/picture">
                        <pic:nvPicPr>
                          <pic:cNvPr id="2" name="Picture 1" descr="cid:image003.png@01D2932A.1F9825A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8360" cy="533400"/>
                          </a:xfrm>
                          <a:prstGeom prst="rect">
                            <a:avLst/>
                          </a:prstGeom>
                          <a:noFill/>
                          <a:ln>
                            <a:noFill/>
                          </a:ln>
                        </pic:spPr>
                      </pic:pic>
                    </a:graphicData>
                  </a:graphic>
                </wp:inline>
              </w:drawing>
            </w:r>
          </w:p>
          <w:p w14:paraId="0F71AC14" w14:textId="77777777" w:rsidR="007221CE" w:rsidRDefault="007221CE"/>
        </w:tc>
        <w:tc>
          <w:tcPr>
            <w:tcW w:w="2798" w:type="pct"/>
            <w:gridSpan w:val="3"/>
          </w:tcPr>
          <w:p w14:paraId="0F71AC15" w14:textId="77777777" w:rsidR="007221CE" w:rsidRPr="007221CE" w:rsidRDefault="007221CE" w:rsidP="007221CE">
            <w:pPr>
              <w:jc w:val="center"/>
              <w:rPr>
                <w:b/>
                <w:sz w:val="36"/>
                <w:szCs w:val="36"/>
              </w:rPr>
            </w:pPr>
            <w:r w:rsidRPr="007221CE">
              <w:rPr>
                <w:b/>
                <w:sz w:val="36"/>
                <w:szCs w:val="36"/>
              </w:rPr>
              <w:t>ROLE PROFILE</w:t>
            </w:r>
          </w:p>
        </w:tc>
      </w:tr>
      <w:tr w:rsidR="002527A6" w14:paraId="0F71AC19" w14:textId="77777777" w:rsidTr="002527A6">
        <w:trPr>
          <w:trHeight w:val="558"/>
        </w:trPr>
        <w:tc>
          <w:tcPr>
            <w:tcW w:w="2202" w:type="pct"/>
            <w:gridSpan w:val="5"/>
            <w:vMerge/>
          </w:tcPr>
          <w:p w14:paraId="0F71AC17" w14:textId="77777777" w:rsidR="007221CE" w:rsidRDefault="007221CE"/>
        </w:tc>
        <w:tc>
          <w:tcPr>
            <w:tcW w:w="2798" w:type="pct"/>
            <w:gridSpan w:val="3"/>
            <w:vAlign w:val="center"/>
          </w:tcPr>
          <w:p w14:paraId="0F71AC18" w14:textId="3F8E5F06" w:rsidR="007221CE" w:rsidRPr="007221CE" w:rsidRDefault="00023135" w:rsidP="0062409C">
            <w:pPr>
              <w:jc w:val="center"/>
              <w:rPr>
                <w:sz w:val="28"/>
                <w:szCs w:val="28"/>
              </w:rPr>
            </w:pPr>
            <w:r>
              <w:rPr>
                <w:sz w:val="28"/>
                <w:szCs w:val="28"/>
              </w:rPr>
              <w:t xml:space="preserve">Senior </w:t>
            </w:r>
            <w:r w:rsidR="0062409C">
              <w:rPr>
                <w:sz w:val="28"/>
                <w:szCs w:val="28"/>
              </w:rPr>
              <w:t>Operational Resilience Manager</w:t>
            </w:r>
          </w:p>
        </w:tc>
      </w:tr>
      <w:tr w:rsidR="00365EB1" w:rsidRPr="007221CE" w14:paraId="0F71AC1D" w14:textId="77777777" w:rsidTr="002527A6">
        <w:trPr>
          <w:trHeight w:val="288"/>
        </w:trPr>
        <w:tc>
          <w:tcPr>
            <w:tcW w:w="773" w:type="pct"/>
            <w:noWrap/>
            <w:hideMark/>
          </w:tcPr>
          <w:p w14:paraId="0F71AC1A" w14:textId="77777777" w:rsidR="007221CE" w:rsidRDefault="007221CE">
            <w:pPr>
              <w:rPr>
                <w:b/>
              </w:rPr>
            </w:pPr>
            <w:r w:rsidRPr="00394ABC">
              <w:rPr>
                <w:b/>
              </w:rPr>
              <w:t>Reports to:</w:t>
            </w:r>
          </w:p>
          <w:p w14:paraId="0F71AC1B" w14:textId="77777777" w:rsidR="00394ABC" w:rsidRPr="00394ABC" w:rsidRDefault="00394ABC">
            <w:pPr>
              <w:rPr>
                <w:b/>
              </w:rPr>
            </w:pPr>
          </w:p>
        </w:tc>
        <w:tc>
          <w:tcPr>
            <w:tcW w:w="4227" w:type="pct"/>
            <w:gridSpan w:val="7"/>
            <w:noWrap/>
            <w:hideMark/>
          </w:tcPr>
          <w:p w14:paraId="0F71AC1C" w14:textId="24934F46" w:rsidR="007221CE" w:rsidRPr="007221CE" w:rsidRDefault="0062409C">
            <w:r>
              <w:t>Senior Operational Resilience &amp; Continuity Manager</w:t>
            </w:r>
          </w:p>
        </w:tc>
      </w:tr>
      <w:tr w:rsidR="002527A6" w:rsidRPr="007221CE" w14:paraId="0F71AC22" w14:textId="77777777" w:rsidTr="002527A6">
        <w:trPr>
          <w:trHeight w:val="288"/>
        </w:trPr>
        <w:tc>
          <w:tcPr>
            <w:tcW w:w="773" w:type="pct"/>
            <w:noWrap/>
            <w:hideMark/>
          </w:tcPr>
          <w:p w14:paraId="0F71AC1E" w14:textId="77777777" w:rsidR="00394ABC" w:rsidRPr="006D09CD" w:rsidRDefault="007221CE">
            <w:pPr>
              <w:rPr>
                <w:b/>
              </w:rPr>
            </w:pPr>
            <w:r w:rsidRPr="00394ABC">
              <w:rPr>
                <w:b/>
              </w:rPr>
              <w:t>Grade:</w:t>
            </w:r>
          </w:p>
        </w:tc>
        <w:tc>
          <w:tcPr>
            <w:tcW w:w="1622" w:type="pct"/>
            <w:gridSpan w:val="5"/>
            <w:noWrap/>
            <w:hideMark/>
          </w:tcPr>
          <w:p w14:paraId="0F71AC1F" w14:textId="27B2076B" w:rsidR="007221CE" w:rsidRPr="007221CE" w:rsidRDefault="00087EA3" w:rsidP="007221CE">
            <w:sdt>
              <w:sdtPr>
                <w:alias w:val="Grade"/>
                <w:tag w:val="Grade"/>
                <w:id w:val="-1896804037"/>
                <w:placeholder>
                  <w:docPart w:val="3244F6FBDFEA49FE9B201C301967BCD4"/>
                </w:placeholder>
                <w:dropDownList>
                  <w:listItem w:value="Choose an item."/>
                  <w:listItem w:displayText="Customer Service &amp; Technical Support" w:value="Customer Service &amp; Technical Support"/>
                  <w:listItem w:displayText="Senior Customer Service &amp; Technical Support" w:value="Senior Customer Service &amp; Technical Support"/>
                  <w:listItem w:displayText="Professional / Technical" w:value="Professional / Technical"/>
                  <w:listItem w:displayText="Senior Professional / Technical" w:value="Senior Professional / Technical"/>
                  <w:listItem w:displayText="Lead Professional / Technical" w:value="Lead Professional / Technical"/>
                  <w:listItem w:displayText="Team Leader" w:value="Team Leader"/>
                  <w:listItem w:displayText="Manager" w:value="Manager"/>
                  <w:listItem w:displayText="Senior Manager" w:value="Senior Manager"/>
                  <w:listItem w:displayText="Functional Leader" w:value="Functional Leader"/>
                  <w:listItem w:displayText="Enterprise Leader" w:value="Enterprise Leader"/>
                  <w:listItem w:displayText="Executive" w:value="Executive"/>
                </w:dropDownList>
              </w:sdtPr>
              <w:sdtEndPr/>
              <w:sdtContent>
                <w:r w:rsidR="00E41702">
                  <w:t>Lead Professional / Technical</w:t>
                </w:r>
              </w:sdtContent>
            </w:sdt>
          </w:p>
        </w:tc>
        <w:tc>
          <w:tcPr>
            <w:tcW w:w="1086" w:type="pct"/>
            <w:noWrap/>
            <w:hideMark/>
          </w:tcPr>
          <w:p w14:paraId="0F71AC20" w14:textId="77777777" w:rsidR="007221CE" w:rsidRPr="007221CE" w:rsidRDefault="007221CE" w:rsidP="006D09CD">
            <w:r w:rsidRPr="00394ABC">
              <w:rPr>
                <w:b/>
              </w:rPr>
              <w:t>Job Family:</w:t>
            </w:r>
            <w:r w:rsidR="00394ABC">
              <w:t xml:space="preserve"> </w:t>
            </w:r>
          </w:p>
        </w:tc>
        <w:sdt>
          <w:sdtPr>
            <w:alias w:val="Job Family"/>
            <w:tag w:val="Job Family"/>
            <w:id w:val="-1729450357"/>
            <w:placeholder>
              <w:docPart w:val="8E8FBDCE6FBB4EFF8102B20CEFE60CD3"/>
            </w:placeholder>
            <w:dropDownList>
              <w:listItem w:value="Choose an item."/>
              <w:listItem w:displayText="Business Services" w:value="Business Services"/>
              <w:listItem w:displayText="Change" w:value="Change"/>
              <w:listItem w:displayText="Compliance &amp; Quality" w:value="Compliance &amp; Quality"/>
              <w:listItem w:displayText="Data Analytics &amp; Insight" w:value="Data Analytics &amp; Insight"/>
              <w:listItem w:displayText="Finance" w:value="Finance"/>
              <w:listItem w:displayText="Financial Regulatory Governance &amp; Treasury" w:value="Financial Regulatory Governance &amp; Treasury"/>
              <w:listItem w:displayText="Human Resources" w:value="Human Resources"/>
              <w:listItem w:displayText="IT Architecture" w:value="IT Architecture"/>
              <w:listItem w:displayText="IT Cyber Security" w:value="IT Cyber Security"/>
              <w:listItem w:displayText="IT Engineering" w:value="IT Engineering"/>
              <w:listItem w:displayText="IT Service" w:value="IT Service"/>
              <w:listItem w:displayText="Legal Services" w:value="Legal Services"/>
              <w:listItem w:displayText="Marketing Product &amp; Comms" w:value="Marketing Product &amp; Comms"/>
              <w:listItem w:displayText="Match to Market" w:value="Match to Market"/>
              <w:listItem w:displayText="Member Service" w:value="Member Service"/>
              <w:listItem w:displayText="Mortgage Underwriting" w:value="Mortgage Underwriting"/>
              <w:listItem w:displayText="Procurement" w:value="Procurement"/>
              <w:listItem w:displayText="Regulated Mortgage Advice" w:value="Regulated Mortgage Advice"/>
              <w:listItem w:displayText="Relationship Management" w:value="Relationship Management"/>
              <w:listItem w:displayText="Risk Management" w:value="Risk Management"/>
            </w:dropDownList>
          </w:sdtPr>
          <w:sdtEndPr/>
          <w:sdtContent>
            <w:tc>
              <w:tcPr>
                <w:tcW w:w="1519" w:type="pct"/>
                <w:noWrap/>
                <w:hideMark/>
              </w:tcPr>
              <w:p w14:paraId="0F71AC21" w14:textId="56F8FF4C" w:rsidR="007221CE" w:rsidRPr="007221CE" w:rsidRDefault="00023135">
                <w:r>
                  <w:t>Risk Management</w:t>
                </w:r>
              </w:p>
            </w:tc>
          </w:sdtContent>
        </w:sdt>
      </w:tr>
      <w:tr w:rsidR="002527A6" w:rsidRPr="007221CE" w14:paraId="0F71AC2A" w14:textId="77777777" w:rsidTr="002527A6">
        <w:trPr>
          <w:trHeight w:val="288"/>
        </w:trPr>
        <w:tc>
          <w:tcPr>
            <w:tcW w:w="773" w:type="pct"/>
            <w:noWrap/>
            <w:hideMark/>
          </w:tcPr>
          <w:p w14:paraId="0F71AC23" w14:textId="77777777" w:rsidR="00394ABC" w:rsidRPr="007221CE" w:rsidRDefault="00394ABC">
            <w:r>
              <w:rPr>
                <w:b/>
                <w:bCs/>
              </w:rPr>
              <w:t xml:space="preserve">Leadership </w:t>
            </w:r>
            <w:r w:rsidRPr="007221CE">
              <w:rPr>
                <w:b/>
                <w:bCs/>
              </w:rPr>
              <w:t>Responsibility:</w:t>
            </w:r>
          </w:p>
        </w:tc>
        <w:tc>
          <w:tcPr>
            <w:tcW w:w="422" w:type="pct"/>
            <w:noWrap/>
            <w:hideMark/>
          </w:tcPr>
          <w:p w14:paraId="0F71AC24" w14:textId="77777777" w:rsidR="00394ABC" w:rsidRPr="006D09CD" w:rsidRDefault="00394ABC">
            <w:pPr>
              <w:rPr>
                <w:sz w:val="18"/>
                <w:szCs w:val="18"/>
              </w:rPr>
            </w:pPr>
            <w:r w:rsidRPr="006D09CD">
              <w:rPr>
                <w:sz w:val="18"/>
                <w:szCs w:val="18"/>
              </w:rPr>
              <w:t>Direct</w:t>
            </w:r>
            <w:r w:rsidR="006D09CD" w:rsidRPr="006D09CD">
              <w:rPr>
                <w:sz w:val="18"/>
                <w:szCs w:val="18"/>
              </w:rPr>
              <w:t xml:space="preserve"> Reports</w:t>
            </w:r>
            <w:r w:rsidRPr="006D09CD">
              <w:rPr>
                <w:sz w:val="18"/>
                <w:szCs w:val="18"/>
              </w:rPr>
              <w:t>:</w:t>
            </w:r>
          </w:p>
        </w:tc>
        <w:tc>
          <w:tcPr>
            <w:tcW w:w="403" w:type="pct"/>
            <w:noWrap/>
            <w:hideMark/>
          </w:tcPr>
          <w:p w14:paraId="0F71AC25" w14:textId="029117DD" w:rsidR="00394ABC" w:rsidRPr="007221CE" w:rsidRDefault="00E41702">
            <w:r w:rsidRPr="00E41702">
              <w:t>5</w:t>
            </w:r>
          </w:p>
        </w:tc>
        <w:tc>
          <w:tcPr>
            <w:tcW w:w="441" w:type="pct"/>
            <w:noWrap/>
            <w:hideMark/>
          </w:tcPr>
          <w:p w14:paraId="0F71AC26" w14:textId="77777777" w:rsidR="00394ABC" w:rsidRPr="007221CE" w:rsidRDefault="006D09CD" w:rsidP="006D09CD">
            <w:r w:rsidRPr="006D09CD">
              <w:rPr>
                <w:sz w:val="18"/>
                <w:szCs w:val="18"/>
              </w:rPr>
              <w:t>Indirect Reports:</w:t>
            </w:r>
          </w:p>
        </w:tc>
        <w:tc>
          <w:tcPr>
            <w:tcW w:w="356" w:type="pct"/>
            <w:gridSpan w:val="2"/>
            <w:noWrap/>
          </w:tcPr>
          <w:p w14:paraId="0F71AC27" w14:textId="6365EDBC" w:rsidR="00394ABC" w:rsidRPr="007221CE" w:rsidRDefault="00023135" w:rsidP="00E0033E">
            <w:r>
              <w:t>0</w:t>
            </w:r>
          </w:p>
        </w:tc>
        <w:tc>
          <w:tcPr>
            <w:tcW w:w="1086" w:type="pct"/>
            <w:noWrap/>
          </w:tcPr>
          <w:p w14:paraId="0F71AC28" w14:textId="77777777" w:rsidR="00394ABC" w:rsidRPr="007221CE" w:rsidRDefault="00394ABC" w:rsidP="00365EB1">
            <w:r>
              <w:rPr>
                <w:b/>
                <w:bCs/>
              </w:rPr>
              <w:t>Regulatory Info</w:t>
            </w:r>
            <w:r w:rsidR="00655A99">
              <w:rPr>
                <w:b/>
                <w:bCs/>
              </w:rPr>
              <w:t>rmation</w:t>
            </w:r>
            <w:r>
              <w:rPr>
                <w:b/>
                <w:bCs/>
              </w:rPr>
              <w:t xml:space="preserve">: </w:t>
            </w:r>
          </w:p>
        </w:tc>
        <w:sdt>
          <w:sdtPr>
            <w:alias w:val="Regulatory Info"/>
            <w:tag w:val="Regulatory Info"/>
            <w:id w:val="1040475019"/>
            <w:placeholder>
              <w:docPart w:val="C733D5EE4B6E4B61BEC321F0DF80BEFE"/>
            </w:placeholder>
            <w:dropDownList>
              <w:listItem w:value="Choose an item."/>
              <w:listItem w:displayText="SMF" w:value="SMF"/>
              <w:listItem w:displayText="MRT" w:value="MRT"/>
              <w:listItem w:displayText="Certified Role" w:value="Certified Role"/>
              <w:listItem w:displayText="Not Applicable" w:value="Not Applicable"/>
            </w:dropDownList>
          </w:sdtPr>
          <w:sdtEndPr/>
          <w:sdtContent>
            <w:tc>
              <w:tcPr>
                <w:tcW w:w="1519" w:type="pct"/>
                <w:noWrap/>
              </w:tcPr>
              <w:p w14:paraId="0F71AC29" w14:textId="6A4A729F" w:rsidR="00394ABC" w:rsidRPr="007221CE" w:rsidRDefault="00023135" w:rsidP="00E273DA">
                <w:r>
                  <w:t>Not Applicable</w:t>
                </w:r>
              </w:p>
            </w:tc>
          </w:sdtContent>
        </w:sdt>
      </w:tr>
      <w:tr w:rsidR="00365EB1" w:rsidRPr="007221CE" w14:paraId="0F71AC2F" w14:textId="77777777" w:rsidTr="002527A6">
        <w:trPr>
          <w:trHeight w:val="288"/>
        </w:trPr>
        <w:tc>
          <w:tcPr>
            <w:tcW w:w="773" w:type="pct"/>
            <w:noWrap/>
            <w:hideMark/>
          </w:tcPr>
          <w:p w14:paraId="0F71AC2B" w14:textId="77777777" w:rsidR="00365EB1" w:rsidRPr="00394ABC" w:rsidRDefault="00365EB1">
            <w:pPr>
              <w:rPr>
                <w:b/>
              </w:rPr>
            </w:pPr>
            <w:r w:rsidRPr="00394ABC">
              <w:rPr>
                <w:b/>
              </w:rPr>
              <w:t>Location:</w:t>
            </w:r>
          </w:p>
        </w:tc>
        <w:tc>
          <w:tcPr>
            <w:tcW w:w="825" w:type="pct"/>
            <w:gridSpan w:val="2"/>
            <w:noWrap/>
            <w:hideMark/>
          </w:tcPr>
          <w:p w14:paraId="0F71AC2C" w14:textId="589FF1DF" w:rsidR="00365EB1" w:rsidRPr="007221CE" w:rsidRDefault="00365EB1">
            <w:r w:rsidRPr="007221CE">
              <w:t>Coventry Area</w:t>
            </w:r>
            <w:r w:rsidR="00E82085">
              <w:t>, with occasional travel</w:t>
            </w:r>
          </w:p>
        </w:tc>
        <w:tc>
          <w:tcPr>
            <w:tcW w:w="797" w:type="pct"/>
            <w:gridSpan w:val="3"/>
            <w:noWrap/>
            <w:hideMark/>
          </w:tcPr>
          <w:p w14:paraId="0F71AC2D" w14:textId="77777777" w:rsidR="00365EB1" w:rsidRPr="007221CE" w:rsidRDefault="00365EB1">
            <w:r>
              <w:t>Working hours:</w:t>
            </w:r>
          </w:p>
        </w:tc>
        <w:tc>
          <w:tcPr>
            <w:tcW w:w="2605" w:type="pct"/>
            <w:gridSpan w:val="2"/>
          </w:tcPr>
          <w:p w14:paraId="0F71AC2E" w14:textId="798BE469" w:rsidR="00365EB1" w:rsidRPr="007221CE" w:rsidRDefault="00023135">
            <w:r>
              <w:t>Monday – Friday, 35 hours per week. Flexibility required</w:t>
            </w:r>
          </w:p>
        </w:tc>
      </w:tr>
      <w:tr w:rsidR="007221CE" w:rsidRPr="007221CE" w14:paraId="0F71AC31" w14:textId="77777777" w:rsidTr="002527A6">
        <w:trPr>
          <w:trHeight w:val="288"/>
        </w:trPr>
        <w:tc>
          <w:tcPr>
            <w:tcW w:w="5000" w:type="pct"/>
            <w:gridSpan w:val="8"/>
            <w:noWrap/>
            <w:hideMark/>
          </w:tcPr>
          <w:p w14:paraId="0F71AC30" w14:textId="77777777" w:rsidR="007221CE" w:rsidRPr="007221CE" w:rsidRDefault="007221CE">
            <w:r w:rsidRPr="007221CE">
              <w:rPr>
                <w:b/>
                <w:bCs/>
              </w:rPr>
              <w:t>ABOUT THE ROLE</w:t>
            </w:r>
            <w:r w:rsidRPr="007221CE">
              <w:t xml:space="preserve"> </w:t>
            </w:r>
          </w:p>
        </w:tc>
      </w:tr>
      <w:tr w:rsidR="007221CE" w:rsidRPr="007221CE" w14:paraId="0F71AC33" w14:textId="77777777" w:rsidTr="00D10B8E">
        <w:trPr>
          <w:trHeight w:val="3012"/>
        </w:trPr>
        <w:tc>
          <w:tcPr>
            <w:tcW w:w="5000" w:type="pct"/>
            <w:gridSpan w:val="8"/>
            <w:hideMark/>
          </w:tcPr>
          <w:p w14:paraId="2B663129" w14:textId="77777777" w:rsidR="00023135" w:rsidRDefault="00023135" w:rsidP="00023135">
            <w:pPr>
              <w:widowControl w:val="0"/>
            </w:pPr>
          </w:p>
          <w:p w14:paraId="0351B74D" w14:textId="1C10D1C4" w:rsidR="00023135" w:rsidRPr="00023135" w:rsidRDefault="00023135" w:rsidP="00023135">
            <w:pPr>
              <w:widowControl w:val="0"/>
            </w:pPr>
            <w:r w:rsidRPr="00023135">
              <w:t xml:space="preserve">This role is responsible for </w:t>
            </w:r>
            <w:r w:rsidR="003C2C48">
              <w:t xml:space="preserve">leading the Society’s approach to operational resilience, including </w:t>
            </w:r>
            <w:r w:rsidRPr="00023135">
              <w:t xml:space="preserve">implementation of the Operational Resilience </w:t>
            </w:r>
            <w:r w:rsidR="003C2C48">
              <w:t>S</w:t>
            </w:r>
            <w:r w:rsidRPr="00023135">
              <w:t>trategy</w:t>
            </w:r>
            <w:r>
              <w:t xml:space="preserve"> and Framework</w:t>
            </w:r>
            <w:r w:rsidR="00EA5607">
              <w:t xml:space="preserve">, compliance with regulatory obligations and </w:t>
            </w:r>
            <w:r w:rsidR="003C2C48">
              <w:t>managing the Operational Resilience team</w:t>
            </w:r>
            <w:r w:rsidRPr="00023135">
              <w:t>. The purpose of this role is</w:t>
            </w:r>
            <w:r w:rsidR="00EA5607">
              <w:t xml:space="preserve"> to</w:t>
            </w:r>
            <w:r w:rsidRPr="00023135">
              <w:t>:</w:t>
            </w:r>
          </w:p>
          <w:p w14:paraId="70F1B1B4" w14:textId="77777777" w:rsidR="00023135" w:rsidRPr="00023135" w:rsidRDefault="00023135" w:rsidP="00023135">
            <w:pPr>
              <w:widowControl w:val="0"/>
            </w:pPr>
          </w:p>
          <w:p w14:paraId="10D722F0" w14:textId="18DE73FD" w:rsidR="00023135" w:rsidRDefault="00EA5607" w:rsidP="00023135">
            <w:pPr>
              <w:widowControl w:val="0"/>
              <w:numPr>
                <w:ilvl w:val="0"/>
                <w:numId w:val="1"/>
              </w:numPr>
            </w:pPr>
            <w:r>
              <w:t>D</w:t>
            </w:r>
            <w:r w:rsidR="00023135" w:rsidRPr="00023135">
              <w:t>evelop and maint</w:t>
            </w:r>
            <w:r>
              <w:t>ain</w:t>
            </w:r>
            <w:r w:rsidR="00023135" w:rsidRPr="00023135">
              <w:t xml:space="preserve"> the Society’s Operational Resilience Strategy </w:t>
            </w:r>
            <w:r w:rsidR="00D10B8E">
              <w:t xml:space="preserve">&amp; </w:t>
            </w:r>
            <w:r w:rsidR="00023135" w:rsidRPr="00023135">
              <w:t>Framework</w:t>
            </w:r>
            <w:r w:rsidR="0047186C">
              <w:t xml:space="preserve"> </w:t>
            </w:r>
            <w:r>
              <w:t xml:space="preserve">in order to meet </w:t>
            </w:r>
            <w:r w:rsidR="0047186C">
              <w:t xml:space="preserve">regulatory </w:t>
            </w:r>
            <w:r>
              <w:t>expectations (both FCA and PRA)</w:t>
            </w:r>
            <w:r w:rsidRPr="00023135">
              <w:t xml:space="preserve"> </w:t>
            </w:r>
          </w:p>
          <w:p w14:paraId="02731D28" w14:textId="2914643D" w:rsidR="00D10B8E" w:rsidRPr="00023135" w:rsidRDefault="00EA5607" w:rsidP="00023135">
            <w:pPr>
              <w:widowControl w:val="0"/>
              <w:numPr>
                <w:ilvl w:val="0"/>
                <w:numId w:val="1"/>
              </w:numPr>
            </w:pPr>
            <w:r>
              <w:t xml:space="preserve">Lead </w:t>
            </w:r>
            <w:r w:rsidR="00D10B8E">
              <w:t xml:space="preserve">a programme of work to embed the </w:t>
            </w:r>
            <w:r w:rsidR="00D10B8E" w:rsidRPr="00023135">
              <w:t xml:space="preserve">Operational Resilience Strategy </w:t>
            </w:r>
            <w:r w:rsidR="00D10B8E">
              <w:t xml:space="preserve">&amp; </w:t>
            </w:r>
            <w:r w:rsidR="00D10B8E" w:rsidRPr="00023135">
              <w:t>Framework</w:t>
            </w:r>
          </w:p>
          <w:p w14:paraId="09BF5D54" w14:textId="77777777" w:rsidR="00E41702" w:rsidRPr="00023135" w:rsidRDefault="00E41702" w:rsidP="00E41702">
            <w:pPr>
              <w:widowControl w:val="0"/>
              <w:numPr>
                <w:ilvl w:val="0"/>
                <w:numId w:val="1"/>
              </w:numPr>
            </w:pPr>
            <w:r>
              <w:t>L</w:t>
            </w:r>
            <w:r w:rsidRPr="00023135">
              <w:t>ead the Operational Resilience Team as part of the Risk Function</w:t>
            </w:r>
          </w:p>
          <w:p w14:paraId="767158EB" w14:textId="6D00E920" w:rsidR="00023135" w:rsidRPr="00023135" w:rsidRDefault="00EA5607" w:rsidP="00023135">
            <w:pPr>
              <w:widowControl w:val="0"/>
              <w:numPr>
                <w:ilvl w:val="0"/>
                <w:numId w:val="1"/>
              </w:numPr>
            </w:pPr>
            <w:r>
              <w:t xml:space="preserve">Represent Operational Resilience as an active member </w:t>
            </w:r>
            <w:r w:rsidR="00023135" w:rsidRPr="00023135">
              <w:t xml:space="preserve">of the Resilience and Continuity Committee </w:t>
            </w:r>
          </w:p>
          <w:p w14:paraId="77B30F7D" w14:textId="56FC69C8" w:rsidR="00023135" w:rsidRPr="00023135" w:rsidRDefault="00EA5607" w:rsidP="00023135">
            <w:pPr>
              <w:widowControl w:val="0"/>
              <w:numPr>
                <w:ilvl w:val="0"/>
                <w:numId w:val="1"/>
              </w:numPr>
            </w:pPr>
            <w:r>
              <w:t>S</w:t>
            </w:r>
            <w:r w:rsidR="00023135" w:rsidRPr="00023135">
              <w:t>upport and attend appropriate Risk Committees</w:t>
            </w:r>
            <w:r w:rsidR="00D10B8E">
              <w:t>; including O</w:t>
            </w:r>
            <w:r>
              <w:t xml:space="preserve">perational </w:t>
            </w:r>
            <w:r w:rsidR="00D10B8E">
              <w:t>R</w:t>
            </w:r>
            <w:r>
              <w:t xml:space="preserve">isk </w:t>
            </w:r>
            <w:r w:rsidR="00D10B8E">
              <w:t>C</w:t>
            </w:r>
            <w:r>
              <w:t>ommittee</w:t>
            </w:r>
            <w:r w:rsidR="00D10B8E">
              <w:t xml:space="preserve"> </w:t>
            </w:r>
            <w:r w:rsidR="00023135" w:rsidRPr="00023135">
              <w:t>and B</w:t>
            </w:r>
            <w:r>
              <w:t xml:space="preserve">oard </w:t>
            </w:r>
            <w:r w:rsidR="00023135" w:rsidRPr="00023135">
              <w:t>R</w:t>
            </w:r>
            <w:r>
              <w:t xml:space="preserve">isk </w:t>
            </w:r>
            <w:r w:rsidR="00023135" w:rsidRPr="00023135">
              <w:t>C</w:t>
            </w:r>
            <w:r>
              <w:t>ommittee</w:t>
            </w:r>
            <w:r w:rsidR="00023135" w:rsidRPr="00023135">
              <w:t xml:space="preserve"> when required</w:t>
            </w:r>
            <w:r w:rsidR="00D10B8E">
              <w:t xml:space="preserve"> for reporting of MI</w:t>
            </w:r>
            <w:r w:rsidR="0047186C">
              <w:t xml:space="preserve"> and progress against the approved programme for Operational Resilience</w:t>
            </w:r>
          </w:p>
          <w:p w14:paraId="0F71AC32" w14:textId="57838811" w:rsidR="007221CE" w:rsidRPr="007221CE" w:rsidRDefault="007221CE" w:rsidP="00394ABC">
            <w:r w:rsidRPr="007221CE">
              <w:t xml:space="preserve"> </w:t>
            </w:r>
          </w:p>
        </w:tc>
      </w:tr>
      <w:tr w:rsidR="007221CE" w:rsidRPr="007221CE" w14:paraId="0F71AC35" w14:textId="77777777" w:rsidTr="002527A6">
        <w:trPr>
          <w:trHeight w:val="288"/>
        </w:trPr>
        <w:tc>
          <w:tcPr>
            <w:tcW w:w="5000" w:type="pct"/>
            <w:gridSpan w:val="8"/>
            <w:noWrap/>
            <w:hideMark/>
          </w:tcPr>
          <w:p w14:paraId="0F71AC34" w14:textId="77777777" w:rsidR="007221CE" w:rsidRPr="007221CE" w:rsidRDefault="007221CE">
            <w:r w:rsidRPr="007221CE">
              <w:rPr>
                <w:b/>
                <w:bCs/>
              </w:rPr>
              <w:t>ABOUT YOU</w:t>
            </w:r>
            <w:r w:rsidRPr="007221CE">
              <w:t xml:space="preserve"> </w:t>
            </w:r>
          </w:p>
        </w:tc>
      </w:tr>
      <w:tr w:rsidR="007221CE" w:rsidRPr="007221CE" w14:paraId="0F71AC37" w14:textId="77777777" w:rsidTr="00DB30AC">
        <w:trPr>
          <w:trHeight w:val="3727"/>
        </w:trPr>
        <w:tc>
          <w:tcPr>
            <w:tcW w:w="5000" w:type="pct"/>
            <w:gridSpan w:val="8"/>
            <w:hideMark/>
          </w:tcPr>
          <w:p w14:paraId="382992EC" w14:textId="77777777" w:rsidR="00D10B8E" w:rsidRDefault="00D10B8E" w:rsidP="00394ABC"/>
          <w:p w14:paraId="5B662402" w14:textId="7579EE68" w:rsidR="00D10B8E" w:rsidRDefault="00D10B8E" w:rsidP="00D10B8E">
            <w:pPr>
              <w:widowControl w:val="0"/>
              <w:rPr>
                <w:rFonts w:cstheme="minorHAnsi"/>
                <w:snapToGrid w:val="0"/>
                <w:color w:val="000000"/>
              </w:rPr>
            </w:pPr>
            <w:r>
              <w:rPr>
                <w:rFonts w:cstheme="minorHAnsi"/>
                <w:snapToGrid w:val="0"/>
                <w:color w:val="000000"/>
              </w:rPr>
              <w:t>The successful candidate will have extensive experience of Operational Resilience, ideally within the financial service sector or within a similarly regulated environment.</w:t>
            </w:r>
          </w:p>
          <w:p w14:paraId="788048E0" w14:textId="77777777" w:rsidR="00D10B8E" w:rsidRDefault="00D10B8E" w:rsidP="00D10B8E">
            <w:pPr>
              <w:widowControl w:val="0"/>
              <w:rPr>
                <w:rFonts w:cstheme="minorHAnsi"/>
                <w:snapToGrid w:val="0"/>
                <w:color w:val="000000"/>
              </w:rPr>
            </w:pPr>
          </w:p>
          <w:p w14:paraId="7A3477C8" w14:textId="73205332" w:rsidR="0047186C" w:rsidRDefault="00D10B8E" w:rsidP="00D10B8E">
            <w:pPr>
              <w:widowControl w:val="0"/>
              <w:rPr>
                <w:rFonts w:cstheme="minorHAnsi"/>
                <w:snapToGrid w:val="0"/>
                <w:color w:val="000000"/>
              </w:rPr>
            </w:pPr>
            <w:r>
              <w:rPr>
                <w:rFonts w:cstheme="minorHAnsi"/>
                <w:snapToGrid w:val="0"/>
                <w:color w:val="000000"/>
              </w:rPr>
              <w:t xml:space="preserve">You will be a self-motivated, proactive self-starter who possesses excellent </w:t>
            </w:r>
            <w:r w:rsidR="00EA5607">
              <w:rPr>
                <w:rFonts w:cstheme="minorHAnsi"/>
                <w:snapToGrid w:val="0"/>
                <w:color w:val="000000"/>
              </w:rPr>
              <w:t xml:space="preserve">inter-personal, </w:t>
            </w:r>
            <w:r>
              <w:rPr>
                <w:rFonts w:cstheme="minorHAnsi"/>
                <w:snapToGrid w:val="0"/>
                <w:color w:val="000000"/>
              </w:rPr>
              <w:t xml:space="preserve">communication and organisational skills. </w:t>
            </w:r>
            <w:r w:rsidR="00907E9C" w:rsidRPr="00907E9C">
              <w:rPr>
                <w:rFonts w:cstheme="minorHAnsi"/>
                <w:snapToGrid w:val="0"/>
                <w:color w:val="000000"/>
              </w:rPr>
              <w:t>You can act as a positive role model for staff and display a positive attitude and enthusiasm</w:t>
            </w:r>
            <w:r w:rsidR="00907E9C">
              <w:rPr>
                <w:rFonts w:cstheme="minorHAnsi"/>
                <w:snapToGrid w:val="0"/>
                <w:color w:val="000000"/>
              </w:rPr>
              <w:t>.</w:t>
            </w:r>
          </w:p>
          <w:p w14:paraId="5347496D" w14:textId="77777777" w:rsidR="0047186C" w:rsidRDefault="0047186C" w:rsidP="00D10B8E">
            <w:pPr>
              <w:widowControl w:val="0"/>
              <w:rPr>
                <w:rFonts w:cstheme="minorHAnsi"/>
                <w:snapToGrid w:val="0"/>
                <w:color w:val="000000"/>
              </w:rPr>
            </w:pPr>
          </w:p>
          <w:p w14:paraId="2153E750" w14:textId="49E4380E" w:rsidR="00D10B8E" w:rsidRDefault="00D10B8E" w:rsidP="00D10B8E">
            <w:pPr>
              <w:widowControl w:val="0"/>
              <w:rPr>
                <w:rFonts w:cstheme="minorHAnsi"/>
                <w:snapToGrid w:val="0"/>
                <w:color w:val="000000"/>
              </w:rPr>
            </w:pPr>
            <w:r>
              <w:rPr>
                <w:rFonts w:cstheme="minorHAnsi"/>
                <w:snapToGrid w:val="0"/>
                <w:color w:val="000000"/>
              </w:rPr>
              <w:t xml:space="preserve">You will have proven team leadership skills and demonstrate a strong sense of ownership and accountability. </w:t>
            </w:r>
          </w:p>
          <w:p w14:paraId="175C187E" w14:textId="77777777" w:rsidR="00D10B8E" w:rsidRDefault="00D10B8E" w:rsidP="00D10B8E">
            <w:pPr>
              <w:widowControl w:val="0"/>
              <w:rPr>
                <w:rFonts w:cstheme="minorHAnsi"/>
                <w:snapToGrid w:val="0"/>
                <w:color w:val="000000"/>
              </w:rPr>
            </w:pPr>
          </w:p>
          <w:p w14:paraId="0F71AC36" w14:textId="014F3755" w:rsidR="00D10B8E" w:rsidRPr="00DB30AC" w:rsidRDefault="00D10B8E" w:rsidP="00DB30AC">
            <w:pPr>
              <w:widowControl w:val="0"/>
              <w:rPr>
                <w:rFonts w:cstheme="minorHAnsi"/>
                <w:snapToGrid w:val="0"/>
              </w:rPr>
            </w:pPr>
            <w:r>
              <w:rPr>
                <w:rFonts w:cstheme="minorHAnsi"/>
                <w:snapToGrid w:val="0"/>
                <w:color w:val="000000"/>
              </w:rPr>
              <w:t xml:space="preserve">You will be comfortable operating in dynamic and evolving situations, and thrive on the opportunity to work to tight deadlines and offer pragmatic solutions. You will be required to travel to all business </w:t>
            </w:r>
            <w:r w:rsidRPr="002E2809">
              <w:rPr>
                <w:rFonts w:cstheme="minorHAnsi"/>
                <w:snapToGrid w:val="0"/>
              </w:rPr>
              <w:t>locations and to work flexibly when required</w:t>
            </w:r>
            <w:r>
              <w:rPr>
                <w:rFonts w:cstheme="minorHAnsi"/>
                <w:snapToGrid w:val="0"/>
              </w:rPr>
              <w:t xml:space="preserve"> (currently UK) only</w:t>
            </w:r>
            <w:r w:rsidRPr="002E2809">
              <w:rPr>
                <w:rFonts w:cstheme="minorHAnsi"/>
                <w:snapToGrid w:val="0"/>
              </w:rPr>
              <w:t>.</w:t>
            </w:r>
          </w:p>
        </w:tc>
      </w:tr>
      <w:tr w:rsidR="007221CE" w:rsidRPr="007221CE" w14:paraId="0F71AC39" w14:textId="77777777" w:rsidTr="00DB30AC">
        <w:trPr>
          <w:cantSplit/>
          <w:trHeight w:val="288"/>
        </w:trPr>
        <w:tc>
          <w:tcPr>
            <w:tcW w:w="5000" w:type="pct"/>
            <w:gridSpan w:val="8"/>
            <w:noWrap/>
            <w:hideMark/>
          </w:tcPr>
          <w:p w14:paraId="0F71AC38" w14:textId="77777777" w:rsidR="007221CE" w:rsidRPr="007221CE" w:rsidRDefault="007221CE" w:rsidP="009A609E">
            <w:r w:rsidRPr="009A609E">
              <w:rPr>
                <w:b/>
              </w:rPr>
              <w:t>R</w:t>
            </w:r>
            <w:r w:rsidR="009A609E">
              <w:rPr>
                <w:b/>
              </w:rPr>
              <w:t>EQUIREMENTS</w:t>
            </w:r>
            <w:r w:rsidRPr="009A609E">
              <w:rPr>
                <w:b/>
              </w:rPr>
              <w:t xml:space="preserve">: </w:t>
            </w:r>
          </w:p>
        </w:tc>
      </w:tr>
      <w:tr w:rsidR="007221CE" w:rsidRPr="007221CE" w14:paraId="0F71AC3C" w14:textId="77777777" w:rsidTr="00DB30AC">
        <w:trPr>
          <w:cantSplit/>
          <w:trHeight w:val="3519"/>
        </w:trPr>
        <w:tc>
          <w:tcPr>
            <w:tcW w:w="5000" w:type="pct"/>
            <w:gridSpan w:val="8"/>
          </w:tcPr>
          <w:p w14:paraId="5EAED347" w14:textId="429D9813" w:rsidR="00D10B8E" w:rsidRPr="00D10B8E" w:rsidRDefault="00DB30AC" w:rsidP="00D10B8E">
            <w:pPr>
              <w:widowControl w:val="0"/>
            </w:pPr>
            <w:r>
              <w:t>L</w:t>
            </w:r>
            <w:r w:rsidR="00D10B8E" w:rsidRPr="00D10B8E">
              <w:t>ikely to be qualified at degree level.</w:t>
            </w:r>
          </w:p>
          <w:p w14:paraId="73EC3C02" w14:textId="77777777" w:rsidR="00D10B8E" w:rsidRDefault="00D10B8E" w:rsidP="00D10B8E">
            <w:pPr>
              <w:widowControl w:val="0"/>
            </w:pPr>
          </w:p>
          <w:p w14:paraId="48C7042C" w14:textId="634C189E" w:rsidR="00D10B8E" w:rsidRPr="00D10B8E" w:rsidRDefault="00D10B8E" w:rsidP="00D10B8E">
            <w:pPr>
              <w:widowControl w:val="0"/>
            </w:pPr>
            <w:r>
              <w:t xml:space="preserve">In-depth </w:t>
            </w:r>
            <w:r w:rsidRPr="00D10B8E">
              <w:t>knowledge of Operational Resilience within financial services, ideally within a retail banking environment.</w:t>
            </w:r>
          </w:p>
          <w:p w14:paraId="15F7F7F5" w14:textId="77777777" w:rsidR="00D10B8E" w:rsidRPr="00D10B8E" w:rsidRDefault="00D10B8E" w:rsidP="00D10B8E">
            <w:pPr>
              <w:widowControl w:val="0"/>
            </w:pPr>
          </w:p>
          <w:p w14:paraId="64F04207" w14:textId="77777777" w:rsidR="00D10B8E" w:rsidRPr="00D10B8E" w:rsidRDefault="00D10B8E" w:rsidP="00D10B8E">
            <w:pPr>
              <w:widowControl w:val="0"/>
            </w:pPr>
            <w:r w:rsidRPr="00D10B8E">
              <w:t xml:space="preserve">Wider appreciation of protective disciplines including </w:t>
            </w:r>
            <w:r>
              <w:t xml:space="preserve">business continuity and IT resilience, </w:t>
            </w:r>
            <w:r w:rsidRPr="00D10B8E">
              <w:t xml:space="preserve">physical security, risk management, cyber security and third party resilience. </w:t>
            </w:r>
          </w:p>
          <w:p w14:paraId="7021E014" w14:textId="77777777" w:rsidR="00D10B8E" w:rsidRPr="00D10B8E" w:rsidRDefault="00D10B8E" w:rsidP="00D10B8E">
            <w:pPr>
              <w:widowControl w:val="0"/>
            </w:pPr>
          </w:p>
          <w:p w14:paraId="5E9E61CA" w14:textId="7959550A" w:rsidR="00D10B8E" w:rsidRPr="00D10B8E" w:rsidRDefault="00D10B8E" w:rsidP="00D10B8E">
            <w:pPr>
              <w:widowControl w:val="0"/>
            </w:pPr>
            <w:r w:rsidRPr="00D10B8E">
              <w:t xml:space="preserve">Knowledge of industry best practice, standards, and regulatory </w:t>
            </w:r>
            <w:r w:rsidR="00EA5607">
              <w:t xml:space="preserve">(both PRA and FCA) </w:t>
            </w:r>
            <w:r w:rsidRPr="00D10B8E">
              <w:t xml:space="preserve">and legal requirements related to </w:t>
            </w:r>
            <w:r>
              <w:t xml:space="preserve">Operational Resilience. </w:t>
            </w:r>
          </w:p>
          <w:p w14:paraId="7D1A6C41" w14:textId="77777777" w:rsidR="00D10B8E" w:rsidRPr="00D10B8E" w:rsidRDefault="00D10B8E" w:rsidP="00D10B8E">
            <w:pPr>
              <w:widowControl w:val="0"/>
            </w:pPr>
          </w:p>
          <w:p w14:paraId="0F71AC3B" w14:textId="50839C2E" w:rsidR="00AE68AB" w:rsidRPr="007221CE" w:rsidRDefault="00D10B8E" w:rsidP="00D10B8E">
            <w:pPr>
              <w:widowControl w:val="0"/>
            </w:pPr>
            <w:r w:rsidRPr="00D10B8E">
              <w:t xml:space="preserve">A professional qualification from </w:t>
            </w:r>
            <w:r>
              <w:t>a</w:t>
            </w:r>
            <w:r w:rsidRPr="00D10B8E">
              <w:t xml:space="preserve"> relevant industry body is </w:t>
            </w:r>
            <w:r>
              <w:t>preferred</w:t>
            </w:r>
            <w:r w:rsidRPr="00D10B8E">
              <w:t>.</w:t>
            </w:r>
          </w:p>
        </w:tc>
      </w:tr>
    </w:tbl>
    <w:p w14:paraId="0F71AC3D" w14:textId="77777777" w:rsidR="009A609E" w:rsidRDefault="009A609E"/>
    <w:tbl>
      <w:tblPr>
        <w:tblStyle w:val="TableGrid"/>
        <w:tblW w:w="10208" w:type="dxa"/>
        <w:tblInd w:w="-459" w:type="dxa"/>
        <w:tblLook w:val="04A0" w:firstRow="1" w:lastRow="0" w:firstColumn="1" w:lastColumn="0" w:noHBand="0" w:noVBand="1"/>
      </w:tblPr>
      <w:tblGrid>
        <w:gridCol w:w="1881"/>
        <w:gridCol w:w="8327"/>
      </w:tblGrid>
      <w:tr w:rsidR="007221CE" w:rsidRPr="007221CE" w14:paraId="0F71AC41" w14:textId="77777777" w:rsidTr="007221CE">
        <w:trPr>
          <w:trHeight w:val="288"/>
        </w:trPr>
        <w:tc>
          <w:tcPr>
            <w:tcW w:w="10208" w:type="dxa"/>
            <w:gridSpan w:val="2"/>
            <w:noWrap/>
            <w:hideMark/>
          </w:tcPr>
          <w:p w14:paraId="0F71AC40" w14:textId="77777777" w:rsidR="007221CE" w:rsidRPr="007221CE" w:rsidRDefault="007221CE">
            <w:r w:rsidRPr="007221CE">
              <w:rPr>
                <w:b/>
                <w:bCs/>
              </w:rPr>
              <w:t>YOUR KEY RESPONSIBILITIES</w:t>
            </w:r>
            <w:r w:rsidRPr="007221CE">
              <w:t>. (Additional detailed performance objectives will be set by your manager)</w:t>
            </w:r>
          </w:p>
        </w:tc>
      </w:tr>
      <w:tr w:rsidR="008B6FD3" w:rsidRPr="007221CE" w14:paraId="0F71AC44" w14:textId="77777777" w:rsidTr="00E82085">
        <w:trPr>
          <w:trHeight w:val="3376"/>
        </w:trPr>
        <w:tc>
          <w:tcPr>
            <w:tcW w:w="1881" w:type="dxa"/>
          </w:tcPr>
          <w:p w14:paraId="0F71AC42" w14:textId="77777777" w:rsidR="008B6FD3" w:rsidRPr="007221CE" w:rsidRDefault="008B6FD3">
            <w:pPr>
              <w:rPr>
                <w:b/>
                <w:bCs/>
              </w:rPr>
            </w:pPr>
            <w:r>
              <w:rPr>
                <w:b/>
                <w:bCs/>
              </w:rPr>
              <w:t>General Profile</w:t>
            </w:r>
          </w:p>
        </w:tc>
        <w:tc>
          <w:tcPr>
            <w:tcW w:w="8327" w:type="dxa"/>
          </w:tcPr>
          <w:p w14:paraId="3D3688FF" w14:textId="295C2ABE" w:rsidR="007D6C1A" w:rsidRDefault="007D6C1A" w:rsidP="0047186C">
            <w:pPr>
              <w:widowControl w:val="0"/>
            </w:pPr>
            <w:r w:rsidRPr="007D6C1A">
              <w:t>Maintains an up-to-date knowledge of regulatory developments in Operational Resilience</w:t>
            </w:r>
            <w:r>
              <w:t xml:space="preserve"> including working with industry bodies as the Society representative. Able to translate regulatory development</w:t>
            </w:r>
            <w:r w:rsidR="00EA5607">
              <w:t>s</w:t>
            </w:r>
            <w:r>
              <w:t xml:space="preserve"> to brief key stakeholders at all levels of the Society</w:t>
            </w:r>
            <w:r w:rsidR="00EA5607">
              <w:t>, and ensure these are appropriately implemented and adhered to</w:t>
            </w:r>
            <w:r>
              <w:t xml:space="preserve">. </w:t>
            </w:r>
          </w:p>
          <w:p w14:paraId="58733274" w14:textId="77777777" w:rsidR="007D6C1A" w:rsidRDefault="007D6C1A" w:rsidP="0047186C">
            <w:pPr>
              <w:widowControl w:val="0"/>
            </w:pPr>
          </w:p>
          <w:p w14:paraId="543FE1AD" w14:textId="3849621D" w:rsidR="0047186C" w:rsidRDefault="0047186C" w:rsidP="0047186C">
            <w:pPr>
              <w:widowControl w:val="0"/>
            </w:pPr>
            <w:r>
              <w:t xml:space="preserve">Develop and embed a </w:t>
            </w:r>
            <w:r w:rsidRPr="0047186C">
              <w:t>maintain</w:t>
            </w:r>
            <w:r>
              <w:t>able approach to</w:t>
            </w:r>
            <w:r w:rsidRPr="0047186C">
              <w:t xml:space="preserve"> Operational Resilience </w:t>
            </w:r>
            <w:r>
              <w:t xml:space="preserve">for the Society including coordination of the </w:t>
            </w:r>
            <w:r w:rsidRPr="0047186C">
              <w:t>implement</w:t>
            </w:r>
            <w:r>
              <w:t>ation programme</w:t>
            </w:r>
            <w:r w:rsidR="007D6C1A">
              <w:t xml:space="preserve"> through to embedment</w:t>
            </w:r>
            <w:r>
              <w:t>.</w:t>
            </w:r>
          </w:p>
          <w:p w14:paraId="31C18E2E" w14:textId="77777777" w:rsidR="0047186C" w:rsidRDefault="0047186C" w:rsidP="0047186C">
            <w:pPr>
              <w:widowControl w:val="0"/>
            </w:pPr>
          </w:p>
          <w:p w14:paraId="12B50DEE" w14:textId="0B0EE3FD" w:rsidR="0047186C" w:rsidRDefault="0047186C" w:rsidP="0047186C">
            <w:pPr>
              <w:widowControl w:val="0"/>
            </w:pPr>
            <w:r w:rsidRPr="0047186C">
              <w:t>Effectively leads the Operational Resilience team</w:t>
            </w:r>
            <w:r>
              <w:t>, providing direction to reports and key stakeholders.</w:t>
            </w:r>
          </w:p>
          <w:p w14:paraId="12BB5467" w14:textId="77777777" w:rsidR="0047186C" w:rsidRDefault="0047186C" w:rsidP="0047186C">
            <w:pPr>
              <w:widowControl w:val="0"/>
            </w:pPr>
          </w:p>
          <w:p w14:paraId="6457AE01" w14:textId="41862470" w:rsidR="0047186C" w:rsidRDefault="00907E9C" w:rsidP="0047186C">
            <w:pPr>
              <w:widowControl w:val="0"/>
            </w:pPr>
            <w:r>
              <w:t>Develops and presents</w:t>
            </w:r>
            <w:r w:rsidR="0047186C" w:rsidRPr="0047186C">
              <w:t xml:space="preserve"> progress updates and MI through Risk Committee structures and to key stakeholders </w:t>
            </w:r>
            <w:r>
              <w:t xml:space="preserve">across the Society </w:t>
            </w:r>
            <w:r w:rsidR="0047186C" w:rsidRPr="0047186C">
              <w:t xml:space="preserve">on a regular basis. </w:t>
            </w:r>
          </w:p>
          <w:p w14:paraId="0F71AC43" w14:textId="77777777" w:rsidR="0047186C" w:rsidRPr="007221CE" w:rsidRDefault="0047186C" w:rsidP="002A089C"/>
        </w:tc>
      </w:tr>
      <w:tr w:rsidR="0030430B" w:rsidRPr="007221CE" w14:paraId="0F71AC47" w14:textId="77777777" w:rsidTr="007221CE">
        <w:trPr>
          <w:trHeight w:val="1500"/>
        </w:trPr>
        <w:tc>
          <w:tcPr>
            <w:tcW w:w="1881" w:type="dxa"/>
            <w:hideMark/>
          </w:tcPr>
          <w:p w14:paraId="0F71AC45" w14:textId="28912C27" w:rsidR="0030430B" w:rsidRPr="007221CE" w:rsidRDefault="0030430B">
            <w:pPr>
              <w:rPr>
                <w:b/>
                <w:bCs/>
              </w:rPr>
            </w:pPr>
            <w:r w:rsidRPr="007221CE">
              <w:rPr>
                <w:b/>
                <w:bCs/>
              </w:rPr>
              <w:t>People &amp; Relationships</w:t>
            </w:r>
          </w:p>
        </w:tc>
        <w:tc>
          <w:tcPr>
            <w:tcW w:w="8327" w:type="dxa"/>
          </w:tcPr>
          <w:p w14:paraId="6256582F" w14:textId="77777777" w:rsidR="0030430B" w:rsidRDefault="00907E9C">
            <w:r w:rsidRPr="00907E9C">
              <w:t>Ensures key stakeholders are effectively managed and receive regular and ongoing communications</w:t>
            </w:r>
            <w:r>
              <w:t>.</w:t>
            </w:r>
          </w:p>
          <w:p w14:paraId="03AB5BAC" w14:textId="77777777" w:rsidR="00907E9C" w:rsidRDefault="00907E9C"/>
          <w:p w14:paraId="3B305AF7" w14:textId="554D0A92" w:rsidR="007D6C1A" w:rsidRDefault="007D6C1A">
            <w:r>
              <w:t>Providing effective leadership and clear direction though set</w:t>
            </w:r>
            <w:r w:rsidR="00E82085">
              <w:t>ting</w:t>
            </w:r>
            <w:r>
              <w:t xml:space="preserve"> objectives for members of</w:t>
            </w:r>
            <w:r w:rsidRPr="0047186C">
              <w:t xml:space="preserve"> the Operational Resilience team</w:t>
            </w:r>
            <w:r>
              <w:t>.</w:t>
            </w:r>
          </w:p>
          <w:p w14:paraId="491E85AE" w14:textId="77777777" w:rsidR="007D6C1A" w:rsidRDefault="007D6C1A"/>
          <w:p w14:paraId="5FE89087" w14:textId="09C3CE4D" w:rsidR="00907E9C" w:rsidRPr="00907E9C" w:rsidRDefault="00907E9C" w:rsidP="00907E9C">
            <w:pPr>
              <w:widowControl w:val="0"/>
            </w:pPr>
            <w:r w:rsidRPr="00907E9C">
              <w:t>Plans and reviews performance and development of self and the Operational Resilience team throughout the year in accordance with the Society's Performance Management System.</w:t>
            </w:r>
          </w:p>
          <w:p w14:paraId="0F71AC46" w14:textId="7677F746" w:rsidR="00907E9C" w:rsidRDefault="00907E9C"/>
        </w:tc>
      </w:tr>
      <w:tr w:rsidR="0030430B" w:rsidRPr="007221CE" w14:paraId="0F71AC4A" w14:textId="77777777" w:rsidTr="007D6C1A">
        <w:trPr>
          <w:trHeight w:val="3440"/>
        </w:trPr>
        <w:tc>
          <w:tcPr>
            <w:tcW w:w="1881" w:type="dxa"/>
            <w:hideMark/>
          </w:tcPr>
          <w:p w14:paraId="0F71AC48" w14:textId="77777777" w:rsidR="0030430B" w:rsidRPr="007221CE" w:rsidRDefault="0030430B">
            <w:pPr>
              <w:rPr>
                <w:b/>
                <w:bCs/>
              </w:rPr>
            </w:pPr>
            <w:r w:rsidRPr="007221CE">
              <w:rPr>
                <w:b/>
                <w:bCs/>
              </w:rPr>
              <w:t>Governance, Risk &amp; Controls</w:t>
            </w:r>
          </w:p>
        </w:tc>
        <w:tc>
          <w:tcPr>
            <w:tcW w:w="8327" w:type="dxa"/>
          </w:tcPr>
          <w:p w14:paraId="1D470111" w14:textId="250198BB" w:rsidR="007D6C1A" w:rsidRDefault="007D6C1A">
            <w:r>
              <w:t xml:space="preserve">Maintain the Society’s Operational Resilience Strategy and Framework document in support of SMF 24 responsibilities of the Chief Operating Officer for Operational Resilience. </w:t>
            </w:r>
          </w:p>
          <w:p w14:paraId="48009FB9" w14:textId="77777777" w:rsidR="007D6C1A" w:rsidRDefault="007D6C1A"/>
          <w:p w14:paraId="69A20C3F" w14:textId="2CCA1C2E" w:rsidR="007D6C1A" w:rsidRPr="007D6C1A" w:rsidRDefault="00E82085" w:rsidP="007D6C1A">
            <w:pPr>
              <w:widowControl w:val="0"/>
            </w:pPr>
            <w:r>
              <w:t>Ongoing p</w:t>
            </w:r>
            <w:r w:rsidR="007D6C1A" w:rsidRPr="007D6C1A">
              <w:t xml:space="preserve">roduction of MI pack for Committees and </w:t>
            </w:r>
            <w:r w:rsidR="007D6C1A">
              <w:t>gathering information on</w:t>
            </w:r>
            <w:r w:rsidR="007D6C1A" w:rsidRPr="007D6C1A">
              <w:t xml:space="preserve"> KRIs and activity measures</w:t>
            </w:r>
            <w:r w:rsidR="007D6C1A">
              <w:t>.</w:t>
            </w:r>
          </w:p>
          <w:p w14:paraId="32184F2C" w14:textId="77777777" w:rsidR="007D6C1A" w:rsidRDefault="007D6C1A"/>
          <w:p w14:paraId="5AFC5F09" w14:textId="77777777" w:rsidR="007D6C1A" w:rsidRDefault="007D6C1A">
            <w:r w:rsidRPr="007D6C1A">
              <w:t xml:space="preserve">Monitoring external threats with stakeholders across the Society that can impact resilience and continuity of the Society’s operations. </w:t>
            </w:r>
          </w:p>
          <w:p w14:paraId="31709B2D" w14:textId="77777777" w:rsidR="007D6C1A" w:rsidRDefault="007D6C1A"/>
          <w:p w14:paraId="47FDE22B" w14:textId="77777777" w:rsidR="0030430B" w:rsidRDefault="007D6C1A">
            <w:r w:rsidRPr="007D6C1A">
              <w:t>Active planning for management of external threats to the Society</w:t>
            </w:r>
            <w:r>
              <w:t xml:space="preserve"> working with key stakeholders.</w:t>
            </w:r>
          </w:p>
          <w:p w14:paraId="0F71AC49" w14:textId="1ED6CC84" w:rsidR="007D6C1A" w:rsidRDefault="007D6C1A"/>
        </w:tc>
      </w:tr>
      <w:tr w:rsidR="007221CE" w:rsidRPr="007221CE" w14:paraId="0F71AC4D" w14:textId="77777777" w:rsidTr="007D6C1A">
        <w:trPr>
          <w:trHeight w:val="1349"/>
        </w:trPr>
        <w:tc>
          <w:tcPr>
            <w:tcW w:w="1881" w:type="dxa"/>
            <w:hideMark/>
          </w:tcPr>
          <w:p w14:paraId="0F71AC4B" w14:textId="71DA56C5" w:rsidR="007221CE" w:rsidRPr="007221CE" w:rsidRDefault="007221CE">
            <w:pPr>
              <w:rPr>
                <w:b/>
                <w:bCs/>
              </w:rPr>
            </w:pPr>
            <w:r w:rsidRPr="007221CE">
              <w:rPr>
                <w:b/>
                <w:bCs/>
              </w:rPr>
              <w:t>Impact, Scale &amp; Influence</w:t>
            </w:r>
          </w:p>
        </w:tc>
        <w:tc>
          <w:tcPr>
            <w:tcW w:w="8327" w:type="dxa"/>
          </w:tcPr>
          <w:p w14:paraId="15A22A6E" w14:textId="4F3FFF95" w:rsidR="0047186C" w:rsidRPr="00907E9C" w:rsidRDefault="0047186C" w:rsidP="00907E9C">
            <w:r w:rsidRPr="00907E9C">
              <w:t xml:space="preserve">Identified as the Subject Matter Expert for </w:t>
            </w:r>
            <w:r w:rsidR="00907E9C" w:rsidRPr="00907E9C">
              <w:t>Operational</w:t>
            </w:r>
            <w:r w:rsidRPr="00907E9C">
              <w:t xml:space="preserve"> Resilience within the Society.</w:t>
            </w:r>
          </w:p>
          <w:p w14:paraId="3C80FA0F" w14:textId="77777777" w:rsidR="0047186C" w:rsidRDefault="0047186C" w:rsidP="0047186C">
            <w:pPr>
              <w:widowControl w:val="0"/>
              <w:rPr>
                <w:rFonts w:ascii="Arial" w:hAnsi="Arial" w:cs="Arial"/>
                <w:snapToGrid w:val="0"/>
              </w:rPr>
            </w:pPr>
          </w:p>
          <w:p w14:paraId="6AD8C1CE" w14:textId="494CF2FC" w:rsidR="0047186C" w:rsidRPr="00907E9C" w:rsidRDefault="00907E9C" w:rsidP="0047186C">
            <w:pPr>
              <w:widowControl w:val="0"/>
            </w:pPr>
            <w:r w:rsidRPr="00907E9C">
              <w:t>Consistently seek</w:t>
            </w:r>
            <w:r w:rsidR="007D6C1A">
              <w:t>s</w:t>
            </w:r>
            <w:r w:rsidRPr="00907E9C">
              <w:t xml:space="preserve"> to add value to the Society through continuous self-development and by looking for ways for team to increasingly add value.</w:t>
            </w:r>
          </w:p>
          <w:p w14:paraId="0F71AC4C" w14:textId="43CFCAC1" w:rsidR="007221CE" w:rsidRPr="007221CE" w:rsidRDefault="007221CE" w:rsidP="002A089C"/>
        </w:tc>
      </w:tr>
      <w:tr w:rsidR="007221CE" w:rsidRPr="007221CE" w14:paraId="0F71AC50" w14:textId="77777777" w:rsidTr="007D6C1A">
        <w:trPr>
          <w:trHeight w:val="1127"/>
        </w:trPr>
        <w:tc>
          <w:tcPr>
            <w:tcW w:w="1881" w:type="dxa"/>
            <w:hideMark/>
          </w:tcPr>
          <w:p w14:paraId="0F71AC4E" w14:textId="3B05DC14" w:rsidR="007221CE" w:rsidRPr="007221CE" w:rsidRDefault="007221CE" w:rsidP="007221CE">
            <w:pPr>
              <w:rPr>
                <w:b/>
                <w:bCs/>
              </w:rPr>
            </w:pPr>
            <w:r w:rsidRPr="007221CE">
              <w:rPr>
                <w:b/>
                <w:bCs/>
              </w:rPr>
              <w:t xml:space="preserve">Decision Making / Problem Solving </w:t>
            </w:r>
          </w:p>
        </w:tc>
        <w:tc>
          <w:tcPr>
            <w:tcW w:w="8327" w:type="dxa"/>
          </w:tcPr>
          <w:p w14:paraId="09EB3100" w14:textId="54FA1DA7" w:rsidR="007D6C1A" w:rsidRPr="00EA1C5D" w:rsidRDefault="007D6C1A" w:rsidP="007D6C1A">
            <w:pPr>
              <w:widowControl w:val="0"/>
              <w:rPr>
                <w:rFonts w:cstheme="minorHAnsi"/>
                <w:snapToGrid w:val="0"/>
                <w:color w:val="000000"/>
              </w:rPr>
            </w:pPr>
            <w:r>
              <w:rPr>
                <w:rFonts w:cstheme="minorHAnsi"/>
                <w:snapToGrid w:val="0"/>
              </w:rPr>
              <w:t xml:space="preserve">Working with key stakeholders to coordinate the analysis of processes and infrastructure to </w:t>
            </w:r>
            <w:r w:rsidRPr="00D56DBD">
              <w:rPr>
                <w:rFonts w:cstheme="minorHAnsi"/>
                <w:snapToGrid w:val="0"/>
              </w:rPr>
              <w:t>identif</w:t>
            </w:r>
            <w:r>
              <w:rPr>
                <w:rFonts w:cstheme="minorHAnsi"/>
                <w:snapToGrid w:val="0"/>
              </w:rPr>
              <w:t>y</w:t>
            </w:r>
            <w:r w:rsidRPr="00D56DBD">
              <w:rPr>
                <w:rFonts w:cstheme="minorHAnsi"/>
                <w:snapToGrid w:val="0"/>
              </w:rPr>
              <w:t xml:space="preserve"> single points of failure, and provide inp</w:t>
            </w:r>
            <w:r>
              <w:rPr>
                <w:rFonts w:cstheme="minorHAnsi"/>
                <w:snapToGrid w:val="0"/>
              </w:rPr>
              <w:t>ut into the mitigation of these.</w:t>
            </w:r>
          </w:p>
          <w:p w14:paraId="0F71AC4F" w14:textId="496384D1" w:rsidR="007221CE" w:rsidRPr="007221CE" w:rsidRDefault="007221CE" w:rsidP="002A089C"/>
        </w:tc>
      </w:tr>
      <w:tr w:rsidR="0019560D" w:rsidRPr="007221CE" w14:paraId="0F71AC52" w14:textId="77777777" w:rsidTr="009B0E68">
        <w:trPr>
          <w:trHeight w:val="272"/>
        </w:trPr>
        <w:tc>
          <w:tcPr>
            <w:tcW w:w="10208" w:type="dxa"/>
            <w:gridSpan w:val="2"/>
          </w:tcPr>
          <w:p w14:paraId="0F71AC51" w14:textId="77777777" w:rsidR="0019560D" w:rsidRDefault="0019560D" w:rsidP="002A089C"/>
        </w:tc>
      </w:tr>
      <w:tr w:rsidR="0030430B" w:rsidRPr="007221CE" w14:paraId="0F71AC55" w14:textId="77777777" w:rsidTr="007D6C1A">
        <w:trPr>
          <w:trHeight w:val="897"/>
        </w:trPr>
        <w:tc>
          <w:tcPr>
            <w:tcW w:w="1881" w:type="dxa"/>
          </w:tcPr>
          <w:p w14:paraId="0F71AC53" w14:textId="77777777" w:rsidR="0030430B" w:rsidRPr="007221CE" w:rsidRDefault="0030430B" w:rsidP="007221CE">
            <w:pPr>
              <w:rPr>
                <w:b/>
                <w:bCs/>
              </w:rPr>
            </w:pPr>
            <w:r>
              <w:rPr>
                <w:b/>
                <w:bCs/>
              </w:rPr>
              <w:t>Comparable Roles</w:t>
            </w:r>
          </w:p>
        </w:tc>
        <w:tc>
          <w:tcPr>
            <w:tcW w:w="8327" w:type="dxa"/>
          </w:tcPr>
          <w:p w14:paraId="0F71AC54" w14:textId="2425FD2C" w:rsidR="0030430B" w:rsidRDefault="0030430B" w:rsidP="0030430B"/>
        </w:tc>
      </w:tr>
    </w:tbl>
    <w:p w14:paraId="0F71AC56" w14:textId="77777777" w:rsidR="007221CE" w:rsidRDefault="007221CE"/>
    <w:p w14:paraId="0F71AC57" w14:textId="77777777" w:rsidR="007221CE" w:rsidRDefault="007221CE"/>
    <w:sectPr w:rsidR="007221CE" w:rsidSect="007221CE">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B74AA"/>
    <w:multiLevelType w:val="hybridMultilevel"/>
    <w:tmpl w:val="C3C8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802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1CE"/>
    <w:rsid w:val="00023135"/>
    <w:rsid w:val="00087EA3"/>
    <w:rsid w:val="000C6A22"/>
    <w:rsid w:val="0019560D"/>
    <w:rsid w:val="002527A6"/>
    <w:rsid w:val="002A089C"/>
    <w:rsid w:val="002A6826"/>
    <w:rsid w:val="0030430B"/>
    <w:rsid w:val="00365EB1"/>
    <w:rsid w:val="00394ABC"/>
    <w:rsid w:val="003C2C48"/>
    <w:rsid w:val="0047186C"/>
    <w:rsid w:val="00475190"/>
    <w:rsid w:val="004805DD"/>
    <w:rsid w:val="004C4F16"/>
    <w:rsid w:val="004D0321"/>
    <w:rsid w:val="005D2349"/>
    <w:rsid w:val="005E786F"/>
    <w:rsid w:val="0062409C"/>
    <w:rsid w:val="00632EA5"/>
    <w:rsid w:val="00655A99"/>
    <w:rsid w:val="00671868"/>
    <w:rsid w:val="006D09CD"/>
    <w:rsid w:val="00720FBD"/>
    <w:rsid w:val="007221CE"/>
    <w:rsid w:val="00786115"/>
    <w:rsid w:val="007B20F5"/>
    <w:rsid w:val="007D6C1A"/>
    <w:rsid w:val="00854E6F"/>
    <w:rsid w:val="008A6BE4"/>
    <w:rsid w:val="008B6FD3"/>
    <w:rsid w:val="00907E9C"/>
    <w:rsid w:val="009445D4"/>
    <w:rsid w:val="009A609E"/>
    <w:rsid w:val="009F16CF"/>
    <w:rsid w:val="00A114BF"/>
    <w:rsid w:val="00A23DDC"/>
    <w:rsid w:val="00AE68AB"/>
    <w:rsid w:val="00B06C6C"/>
    <w:rsid w:val="00BF4557"/>
    <w:rsid w:val="00C46AFB"/>
    <w:rsid w:val="00D10B8E"/>
    <w:rsid w:val="00D778C5"/>
    <w:rsid w:val="00DA4711"/>
    <w:rsid w:val="00DB30AC"/>
    <w:rsid w:val="00DD7CDA"/>
    <w:rsid w:val="00E0033E"/>
    <w:rsid w:val="00E41702"/>
    <w:rsid w:val="00E82085"/>
    <w:rsid w:val="00EA5607"/>
    <w:rsid w:val="00FB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ABEB"/>
  <w15:docId w15:val="{81E32853-E067-416D-B114-A4E3D538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1CE"/>
    <w:rPr>
      <w:rFonts w:ascii="Tahoma" w:hAnsi="Tahoma" w:cs="Tahoma"/>
      <w:sz w:val="16"/>
      <w:szCs w:val="16"/>
    </w:rPr>
  </w:style>
  <w:style w:type="character" w:styleId="CommentReference">
    <w:name w:val="annotation reference"/>
    <w:basedOn w:val="DefaultParagraphFont"/>
    <w:uiPriority w:val="99"/>
    <w:semiHidden/>
    <w:unhideWhenUsed/>
    <w:rsid w:val="002A089C"/>
    <w:rPr>
      <w:sz w:val="16"/>
      <w:szCs w:val="16"/>
    </w:rPr>
  </w:style>
  <w:style w:type="paragraph" w:styleId="CommentText">
    <w:name w:val="annotation text"/>
    <w:basedOn w:val="Normal"/>
    <w:link w:val="CommentTextChar"/>
    <w:uiPriority w:val="99"/>
    <w:semiHidden/>
    <w:unhideWhenUsed/>
    <w:rsid w:val="002A089C"/>
    <w:pPr>
      <w:spacing w:line="240" w:lineRule="auto"/>
    </w:pPr>
    <w:rPr>
      <w:sz w:val="20"/>
      <w:szCs w:val="20"/>
    </w:rPr>
  </w:style>
  <w:style w:type="character" w:customStyle="1" w:styleId="CommentTextChar">
    <w:name w:val="Comment Text Char"/>
    <w:basedOn w:val="DefaultParagraphFont"/>
    <w:link w:val="CommentText"/>
    <w:uiPriority w:val="99"/>
    <w:semiHidden/>
    <w:rsid w:val="002A089C"/>
    <w:rPr>
      <w:sz w:val="20"/>
      <w:szCs w:val="20"/>
    </w:rPr>
  </w:style>
  <w:style w:type="paragraph" w:styleId="CommentSubject">
    <w:name w:val="annotation subject"/>
    <w:basedOn w:val="CommentText"/>
    <w:next w:val="CommentText"/>
    <w:link w:val="CommentSubjectChar"/>
    <w:uiPriority w:val="99"/>
    <w:semiHidden/>
    <w:unhideWhenUsed/>
    <w:rsid w:val="002A089C"/>
    <w:rPr>
      <w:b/>
      <w:bCs/>
    </w:rPr>
  </w:style>
  <w:style w:type="character" w:customStyle="1" w:styleId="CommentSubjectChar">
    <w:name w:val="Comment Subject Char"/>
    <w:basedOn w:val="CommentTextChar"/>
    <w:link w:val="CommentSubject"/>
    <w:uiPriority w:val="99"/>
    <w:semiHidden/>
    <w:rsid w:val="002A089C"/>
    <w:rPr>
      <w:b/>
      <w:bCs/>
      <w:sz w:val="20"/>
      <w:szCs w:val="20"/>
    </w:rPr>
  </w:style>
  <w:style w:type="character" w:styleId="PlaceholderText">
    <w:name w:val="Placeholder Text"/>
    <w:basedOn w:val="DefaultParagraphFont"/>
    <w:uiPriority w:val="99"/>
    <w:semiHidden/>
    <w:rsid w:val="006D09CD"/>
    <w:rPr>
      <w:color w:val="808080"/>
    </w:rPr>
  </w:style>
  <w:style w:type="paragraph" w:styleId="ListParagraph">
    <w:name w:val="List Paragraph"/>
    <w:basedOn w:val="Normal"/>
    <w:uiPriority w:val="34"/>
    <w:qFormat/>
    <w:rsid w:val="00786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46572">
      <w:bodyDiv w:val="1"/>
      <w:marLeft w:val="0"/>
      <w:marRight w:val="0"/>
      <w:marTop w:val="0"/>
      <w:marBottom w:val="0"/>
      <w:divBdr>
        <w:top w:val="none" w:sz="0" w:space="0" w:color="auto"/>
        <w:left w:val="none" w:sz="0" w:space="0" w:color="auto"/>
        <w:bottom w:val="none" w:sz="0" w:space="0" w:color="auto"/>
        <w:right w:val="none" w:sz="0" w:space="0" w:color="auto"/>
      </w:divBdr>
    </w:div>
    <w:div w:id="1149055231">
      <w:bodyDiv w:val="1"/>
      <w:marLeft w:val="0"/>
      <w:marRight w:val="0"/>
      <w:marTop w:val="0"/>
      <w:marBottom w:val="0"/>
      <w:divBdr>
        <w:top w:val="none" w:sz="0" w:space="0" w:color="auto"/>
        <w:left w:val="none" w:sz="0" w:space="0" w:color="auto"/>
        <w:bottom w:val="none" w:sz="0" w:space="0" w:color="auto"/>
        <w:right w:val="none" w:sz="0" w:space="0" w:color="auto"/>
      </w:divBdr>
    </w:div>
    <w:div w:id="1297832485">
      <w:bodyDiv w:val="1"/>
      <w:marLeft w:val="0"/>
      <w:marRight w:val="0"/>
      <w:marTop w:val="0"/>
      <w:marBottom w:val="0"/>
      <w:divBdr>
        <w:top w:val="none" w:sz="0" w:space="0" w:color="auto"/>
        <w:left w:val="none" w:sz="0" w:space="0" w:color="auto"/>
        <w:bottom w:val="none" w:sz="0" w:space="0" w:color="auto"/>
        <w:right w:val="none" w:sz="0" w:space="0" w:color="auto"/>
      </w:divBdr>
    </w:div>
    <w:div w:id="20023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44F6FBDFEA49FE9B201C301967BCD4"/>
        <w:category>
          <w:name w:val="General"/>
          <w:gallery w:val="placeholder"/>
        </w:category>
        <w:types>
          <w:type w:val="bbPlcHdr"/>
        </w:types>
        <w:behaviors>
          <w:behavior w:val="content"/>
        </w:behaviors>
        <w:guid w:val="{3CB19328-B83D-4668-B6E4-08927C76CF5D}"/>
      </w:docPartPr>
      <w:docPartBody>
        <w:p w:rsidR="00B91954" w:rsidRDefault="00046190" w:rsidP="00046190">
          <w:pPr>
            <w:pStyle w:val="3244F6FBDFEA49FE9B201C301967BCD45"/>
          </w:pPr>
          <w:r w:rsidRPr="0098538C">
            <w:rPr>
              <w:rStyle w:val="PlaceholderText"/>
            </w:rPr>
            <w:t>Choose an item.</w:t>
          </w:r>
        </w:p>
      </w:docPartBody>
    </w:docPart>
    <w:docPart>
      <w:docPartPr>
        <w:name w:val="8E8FBDCE6FBB4EFF8102B20CEFE60CD3"/>
        <w:category>
          <w:name w:val="General"/>
          <w:gallery w:val="placeholder"/>
        </w:category>
        <w:types>
          <w:type w:val="bbPlcHdr"/>
        </w:types>
        <w:behaviors>
          <w:behavior w:val="content"/>
        </w:behaviors>
        <w:guid w:val="{3EBC06FD-E534-4CA1-80E9-F3F8178834B1}"/>
      </w:docPartPr>
      <w:docPartBody>
        <w:p w:rsidR="00B91954" w:rsidRDefault="00046190" w:rsidP="00046190">
          <w:pPr>
            <w:pStyle w:val="8E8FBDCE6FBB4EFF8102B20CEFE60CD36"/>
          </w:pPr>
          <w:r w:rsidRPr="0098538C">
            <w:rPr>
              <w:rStyle w:val="PlaceholderText"/>
            </w:rPr>
            <w:t>Choose an item.</w:t>
          </w:r>
        </w:p>
      </w:docPartBody>
    </w:docPart>
    <w:docPart>
      <w:docPartPr>
        <w:name w:val="C733D5EE4B6E4B61BEC321F0DF80BEFE"/>
        <w:category>
          <w:name w:val="General"/>
          <w:gallery w:val="placeholder"/>
        </w:category>
        <w:types>
          <w:type w:val="bbPlcHdr"/>
        </w:types>
        <w:behaviors>
          <w:behavior w:val="content"/>
        </w:behaviors>
        <w:guid w:val="{CA76F719-5FDB-40D4-94E6-065F276EF2CD}"/>
      </w:docPartPr>
      <w:docPartBody>
        <w:p w:rsidR="00B91954" w:rsidRDefault="00046190" w:rsidP="00046190">
          <w:pPr>
            <w:pStyle w:val="C733D5EE4B6E4B61BEC321F0DF80BEFE6"/>
          </w:pPr>
          <w:r w:rsidRPr="009853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E22"/>
    <w:rsid w:val="00046190"/>
    <w:rsid w:val="00216582"/>
    <w:rsid w:val="00222FF0"/>
    <w:rsid w:val="00375E22"/>
    <w:rsid w:val="005C23C3"/>
    <w:rsid w:val="009E6C1C"/>
    <w:rsid w:val="00B91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AA327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190"/>
    <w:rPr>
      <w:color w:val="808080"/>
    </w:rPr>
  </w:style>
  <w:style w:type="paragraph" w:customStyle="1" w:styleId="3244F6FBDFEA49FE9B201C301967BCD45">
    <w:name w:val="3244F6FBDFEA49FE9B201C301967BCD45"/>
    <w:rsid w:val="00046190"/>
    <w:rPr>
      <w:rFonts w:eastAsiaTheme="minorHAnsi"/>
      <w:lang w:eastAsia="en-US"/>
    </w:rPr>
  </w:style>
  <w:style w:type="paragraph" w:customStyle="1" w:styleId="8E8FBDCE6FBB4EFF8102B20CEFE60CD36">
    <w:name w:val="8E8FBDCE6FBB4EFF8102B20CEFE60CD36"/>
    <w:rsid w:val="00046190"/>
    <w:rPr>
      <w:rFonts w:eastAsiaTheme="minorHAnsi"/>
      <w:lang w:eastAsia="en-US"/>
    </w:rPr>
  </w:style>
  <w:style w:type="paragraph" w:customStyle="1" w:styleId="C733D5EE4B6E4B61BEC321F0DF80BEFE6">
    <w:name w:val="C733D5EE4B6E4B61BEC321F0DF80BEFE6"/>
    <w:rsid w:val="0004619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CFF9F841CBACA41A7ED37A583E10C73" ma:contentTypeVersion="3" ma:contentTypeDescription="Create a new document." ma:contentTypeScope="" ma:versionID="aca5f21a16c8a9cdbdf5bbdc76e67372">
  <xsd:schema xmlns:xsd="http://www.w3.org/2001/XMLSchema" xmlns:p="http://schemas.microsoft.com/office/2006/metadata/properties" xmlns:ns1="http://schemas.microsoft.com/sharepoint/v3" targetNamespace="http://schemas.microsoft.com/office/2006/metadata/properties" ma:root="true" ma:fieldsID="4c564bcbffbe9eaad90cc5950abd6c4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08BB0-AE95-4497-9135-E0EA872D9BCB}">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95FF0670-EB66-426C-8FF1-7B201CB6E074}">
  <ds:schemaRefs>
    <ds:schemaRef ds:uri="http://schemas.openxmlformats.org/officeDocument/2006/bibliography"/>
  </ds:schemaRefs>
</ds:datastoreItem>
</file>

<file path=customXml/itemProps3.xml><?xml version="1.0" encoding="utf-8"?>
<ds:datastoreItem xmlns:ds="http://schemas.openxmlformats.org/officeDocument/2006/customXml" ds:itemID="{154D1658-0ACA-49E8-91AE-5540B3706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987210C-5F23-4910-8DD3-7E43C47AF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Coventry Building Society</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Taylor,Bridget</dc:creator>
  <cp:lastModifiedBy>Young,Stacey</cp:lastModifiedBy>
  <cp:revision>2</cp:revision>
  <cp:lastPrinted>2020-02-03T14:02:00Z</cp:lastPrinted>
  <dcterms:created xsi:type="dcterms:W3CDTF">2024-02-13T14:13:00Z</dcterms:created>
  <dcterms:modified xsi:type="dcterms:W3CDTF">2024-02-13T14:13:00Z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0x0101001CFF9F841CBACA41A7ED37A583E10C73</vt:lpwstr>
  </property>
</Properties>
</file>